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0"/>
        <w:gridCol w:w="173"/>
        <w:gridCol w:w="172"/>
        <w:gridCol w:w="4371"/>
      </w:tblGrid>
      <w:tr w:rsidR="00A17AE4" w14:paraId="33816968" w14:textId="77777777" w:rsidTr="4A5DF540">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A5DF540">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A5DF540">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73264683" w:rsidR="00093CA9" w:rsidRDefault="00745E4B" w:rsidP="00093CA9">
            <w:proofErr w:type="spellStart"/>
            <w:r>
              <w:t>Blomstein</w:t>
            </w:r>
            <w:proofErr w:type="spellEnd"/>
          </w:p>
        </w:tc>
      </w:tr>
      <w:tr w:rsidR="00093CA9" w14:paraId="68D6C829" w14:textId="77777777" w:rsidTr="4A5DF540">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A5DF540">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4A5DF540">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A5DF540">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0DB2A814" w:rsidR="00093CA9" w:rsidRDefault="005D1868" w:rsidP="00093CA9">
            <w:r w:rsidRPr="005D1868">
              <w:t>Directive (EU) 2018/2001 of the European Parliament and of the Council of 11 December 2018 on the promotion of the use of energy from renewable sources  </w:t>
            </w:r>
          </w:p>
        </w:tc>
      </w:tr>
      <w:tr w:rsidR="00093CA9" w14:paraId="67500B24" w14:textId="77777777" w:rsidTr="4A5DF540">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A5DF540">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1E4883BB" w:rsidR="00093CA9" w:rsidRDefault="3E3DBA7F" w:rsidP="00093CA9">
            <w:hyperlink r:id="rId17">
              <w:r w:rsidRPr="4A5DF540">
                <w:rPr>
                  <w:rStyle w:val="Hyperlink"/>
                </w:rPr>
                <w:t>https://web.archive.org/web/20250709184822/https://eur-lex.europa.eu/legal-content/EN/TXT/?uri=CELEX%3A02018L2001-20240716</w:t>
              </w:r>
            </w:hyperlink>
            <w:r>
              <w:t xml:space="preserve"> </w:t>
            </w:r>
          </w:p>
        </w:tc>
      </w:tr>
      <w:tr w:rsidR="00093CA9" w:rsidRPr="005A2023" w14:paraId="1EA0B43C" w14:textId="77777777" w:rsidTr="4A5DF540">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A5DF540">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37C98B62" w:rsidR="00093CA9" w:rsidRDefault="00093CA9" w:rsidP="00093CA9"/>
        </w:tc>
      </w:tr>
      <w:tr w:rsidR="00093CA9" w14:paraId="401C58A8" w14:textId="77777777" w:rsidTr="4A5DF540">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4A5DF540">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13D95AA5" w:rsidR="00093CA9" w:rsidRDefault="005D1868" w:rsidP="00093CA9">
            <w:r>
              <w:t>X</w:t>
            </w:r>
          </w:p>
        </w:tc>
      </w:tr>
      <w:tr w:rsidR="00093CA9" w14:paraId="60051751" w14:textId="77777777" w:rsidTr="4A5DF540">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25D4869" w:rsidR="00093CA9" w:rsidRDefault="00093CA9" w:rsidP="00093CA9"/>
        </w:tc>
      </w:tr>
      <w:tr w:rsidR="00093CA9" w14:paraId="6426E869" w14:textId="77777777" w:rsidTr="4A5DF540">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4771767" w:rsidR="00093CA9" w:rsidRDefault="00093CA9" w:rsidP="00093CA9"/>
        </w:tc>
      </w:tr>
      <w:tr w:rsidR="00093CA9" w14:paraId="4C779C87" w14:textId="77777777" w:rsidTr="4A5DF540">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7777777" w:rsidR="00093CA9" w:rsidRDefault="00093CA9" w:rsidP="00093CA9"/>
        </w:tc>
      </w:tr>
      <w:tr w:rsidR="00093CA9" w14:paraId="73270E71" w14:textId="77777777" w:rsidTr="4A5DF540">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A5DF540">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36D9429B" w14:textId="3F3AAB21" w:rsidR="00093CA9" w:rsidRDefault="00C24CE8" w:rsidP="00093CA9">
            <w:r w:rsidRPr="00C24CE8">
              <w:t>Directive (EU) 2018/2001, also known as the Renewable Energy Directive (RED II)</w:t>
            </w:r>
            <w:r w:rsidR="00784CB6">
              <w:t xml:space="preserve">, </w:t>
            </w:r>
            <w:r w:rsidR="00784CB6" w:rsidRPr="001A2B3F">
              <w:t>promotes the uptake of renewables across electricity, heating and cooling, and transport sectors, and provides rules on support schemes, regional cooperation, guarantees of origin, and administrative procedures (Article 1).</w:t>
            </w:r>
          </w:p>
          <w:p w14:paraId="3583EA53" w14:textId="77777777" w:rsidR="001A2B3F" w:rsidRDefault="001A2B3F" w:rsidP="00093CA9">
            <w:r w:rsidRPr="001A2B3F">
              <w:t>Th</w:t>
            </w:r>
            <w:r w:rsidR="00784CB6">
              <w:t>is</w:t>
            </w:r>
            <w:r w:rsidRPr="001A2B3F">
              <w:t xml:space="preserve"> </w:t>
            </w:r>
            <w:r>
              <w:t>D</w:t>
            </w:r>
            <w:r w:rsidRPr="001A2B3F">
              <w:t xml:space="preserve">irective establishes a common framework for the promotion of energy from renewable sources within the EU. Its core objective is to set a binding Union target of at least 42.5% renewable energy in gross final energy consumption by 2030, with an aspirational target of 45% (Article 3(1)). </w:t>
            </w:r>
          </w:p>
          <w:p w14:paraId="2EDBEC5C" w14:textId="4FF88014" w:rsidR="00103E55" w:rsidRDefault="009A09BE" w:rsidP="00093CA9">
            <w:r>
              <w:t>Its</w:t>
            </w:r>
            <w:r w:rsidRPr="009A09BE">
              <w:t xml:space="preserve"> relevan</w:t>
            </w:r>
            <w:r>
              <w:t>ce</w:t>
            </w:r>
            <w:r w:rsidRPr="009A09BE">
              <w:t xml:space="preserve"> to the public procurement domain </w:t>
            </w:r>
            <w:r>
              <w:t>is</w:t>
            </w:r>
            <w:r w:rsidRPr="009A09BE">
              <w:t xml:space="preserve"> </w:t>
            </w:r>
            <w:r>
              <w:t>s</w:t>
            </w:r>
            <w:r w:rsidRPr="009A09BE">
              <w:t>pecifically</w:t>
            </w:r>
            <w:r>
              <w:t xml:space="preserve"> estab</w:t>
            </w:r>
            <w:r w:rsidR="0092783E">
              <w:t>l</w:t>
            </w:r>
            <w:r>
              <w:t>ished</w:t>
            </w:r>
            <w:r w:rsidR="0050587F">
              <w:t xml:space="preserve"> in</w:t>
            </w:r>
            <w:r w:rsidRPr="009A09BE">
              <w:t>:</w:t>
            </w:r>
          </w:p>
          <w:p w14:paraId="2644F3CD" w14:textId="77777777" w:rsidR="009A09BE" w:rsidRDefault="009A09BE" w:rsidP="00093CA9">
            <w:r>
              <w:t>- Article 3(3) a</w:t>
            </w:r>
            <w:r w:rsidR="0052428D">
              <w:t>nd (4a)</w:t>
            </w:r>
            <w:r w:rsidR="009F7F89">
              <w:t xml:space="preserve">: </w:t>
            </w:r>
            <w:r w:rsidR="009F7F89" w:rsidRPr="009F7F89">
              <w:t>require</w:t>
            </w:r>
            <w:r w:rsidR="009F7F89">
              <w:t>s</w:t>
            </w:r>
            <w:r w:rsidR="009F7F89" w:rsidRPr="009F7F89">
              <w:t xml:space="preserve"> Member States to establish frameworks to facilitate the deployment of renewable electricity and uptake of renewable energy, including through support schemes that may affect public purchasing and infrastructure </w:t>
            </w:r>
            <w:proofErr w:type="gramStart"/>
            <w:r w:rsidR="009F7F89" w:rsidRPr="009F7F89">
              <w:t>planning</w:t>
            </w:r>
            <w:r w:rsidR="009F7F89">
              <w:t>;</w:t>
            </w:r>
            <w:proofErr w:type="gramEnd"/>
          </w:p>
          <w:p w14:paraId="620B6B46" w14:textId="188E774B" w:rsidR="009F7F89" w:rsidRDefault="009F7F89" w:rsidP="00093CA9">
            <w:r>
              <w:t xml:space="preserve">- Article 7: </w:t>
            </w:r>
            <w:r w:rsidRPr="009F7F89">
              <w:t xml:space="preserve">defines how renewable energy shares are calculated, which is relevant when governments evaluate bids or monitor performance against renewable energy use thresholds in procurement </w:t>
            </w:r>
            <w:proofErr w:type="gramStart"/>
            <w:r w:rsidRPr="009F7F89">
              <w:t>processes</w:t>
            </w:r>
            <w:r w:rsidR="0069343D">
              <w:t>;</w:t>
            </w:r>
            <w:proofErr w:type="gramEnd"/>
          </w:p>
          <w:p w14:paraId="235EB01C" w14:textId="77777777" w:rsidR="0069343D" w:rsidRDefault="0069343D" w:rsidP="00093CA9">
            <w:r>
              <w:t xml:space="preserve">- Article 2(22b): </w:t>
            </w:r>
            <w:r w:rsidR="00FE3DE2">
              <w:t>emphasises</w:t>
            </w:r>
            <w:r>
              <w:t xml:space="preserve"> </w:t>
            </w:r>
            <w:r w:rsidR="00FE3DE2" w:rsidRPr="00FE3DE2">
              <w:t>the “energy efficiency first” principle</w:t>
            </w:r>
            <w:r w:rsidR="00FE3DE2">
              <w:t xml:space="preserve">, </w:t>
            </w:r>
            <w:r w:rsidR="00FE3DE2" w:rsidRPr="00FE3DE2">
              <w:t>which is a guiding criterion in green public procurement strategies.</w:t>
            </w:r>
          </w:p>
          <w:p w14:paraId="18257824" w14:textId="0CD799BA" w:rsidR="0074594A" w:rsidRDefault="0074594A" w:rsidP="00093CA9">
            <w:r w:rsidRPr="0074594A">
              <w:t>In sum, the Renewable Energy Directive serves as a horizontal climate policy tool with implications for procurement in energy, infrastructure</w:t>
            </w:r>
            <w:r>
              <w:t xml:space="preserve"> </w:t>
            </w:r>
            <w:r w:rsidRPr="0074594A">
              <w:t>and service delivery projects at all levels of government.</w:t>
            </w:r>
            <w:r>
              <w:t xml:space="preserve"> It</w:t>
            </w:r>
            <w:r w:rsidRPr="0074594A">
              <w:t xml:space="preserve"> sets binding renewable energy targets and requires Member States to design and implement frameworks that may directly inform or structure procurement choices in line with climate objectives.</w:t>
            </w:r>
          </w:p>
        </w:tc>
      </w:tr>
      <w:tr w:rsidR="00093CA9" w14:paraId="2451E529" w14:textId="77777777" w:rsidTr="4A5DF540">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A5DF540">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F0E0B3E" w:rsidR="00093CA9" w:rsidRDefault="008B5474" w:rsidP="00093CA9">
            <w:r>
              <w:t>X</w:t>
            </w:r>
          </w:p>
        </w:tc>
      </w:tr>
      <w:tr w:rsidR="00093CA9" w14:paraId="3640F334" w14:textId="77777777" w:rsidTr="4A5DF540">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4A5DF540">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4A5DF540">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4A5DF540">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4A5DF540">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A5DF540">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A5DF540">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4A5DF540">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A5DF540">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627B1A7E" w:rsidR="00093CA9" w:rsidRPr="00173D7C" w:rsidRDefault="008B5474" w:rsidP="00093CA9">
            <w:pPr>
              <w:rPr>
                <w:color w:val="000000" w:themeColor="text1"/>
              </w:rPr>
            </w:pPr>
            <w:r>
              <w:rPr>
                <w:color w:val="000000" w:themeColor="text1"/>
              </w:rPr>
              <w:t>2018</w:t>
            </w:r>
          </w:p>
        </w:tc>
      </w:tr>
      <w:tr w:rsidR="00093CA9" w14:paraId="738B7301" w14:textId="77777777" w:rsidTr="4A5DF540">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A5DF540">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4A5DF540">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A5DF540">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4A5DF540">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A5DF540">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4A5DF540">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4A5DF540">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7C39FC0" w:rsidR="00093CA9" w:rsidRDefault="00AD5C82" w:rsidP="00093CA9">
            <w:r>
              <w:t>T</w:t>
            </w:r>
            <w:r w:rsidRPr="00AD5C82">
              <w:t>he European Parliament and the Council</w:t>
            </w:r>
            <w:r>
              <w:t xml:space="preserve"> of the European Union.</w:t>
            </w:r>
          </w:p>
        </w:tc>
      </w:tr>
      <w:tr w:rsidR="00093CA9" w:rsidRPr="006B7B0D" w14:paraId="5375EB04" w14:textId="77777777" w:rsidTr="4A5DF540">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A5DF540">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46A340A" w:rsidR="00093CA9" w:rsidRPr="006B7B0D" w:rsidRDefault="00B82EBB" w:rsidP="00093CA9">
            <w:r w:rsidRPr="00B82EBB">
              <w:t>European Commission</w:t>
            </w:r>
          </w:p>
        </w:tc>
      </w:tr>
      <w:tr w:rsidR="00093CA9" w:rsidRPr="006B7B0D" w14:paraId="2F387FFB" w14:textId="77777777" w:rsidTr="4A5DF540">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A5DF540">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A5DF540">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A5DF540">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A5DF540">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07F6C86" w:rsidR="00093CA9" w:rsidRPr="006B7B0D" w:rsidRDefault="00B82EBB" w:rsidP="00093CA9">
            <w:r>
              <w:t>X</w:t>
            </w:r>
          </w:p>
        </w:tc>
      </w:tr>
      <w:tr w:rsidR="00093CA9" w:rsidRPr="006B7B0D" w14:paraId="06CA77C4" w14:textId="77777777" w:rsidTr="4A5DF540">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4A5DF540">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4A5DF540">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A5DF540">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A5DF540">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A5DF540">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4A5DF540">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4A5DF540">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A5DF540">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4A5DF540">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A5DF540">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A5DF540">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A5DF540">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A5DF540">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A5DF540">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A5DF540">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4A5DF540">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A5DF540">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A5DF540">
        <w:trPr>
          <w:trHeight w:val="63"/>
        </w:trPr>
        <w:tc>
          <w:tcPr>
            <w:tcW w:w="976" w:type="dxa"/>
            <w:vAlign w:val="center"/>
          </w:tcPr>
          <w:p w14:paraId="6FC23CEF" w14:textId="77777777" w:rsidR="00093CA9" w:rsidRPr="006B7B0D" w:rsidRDefault="00093CA9" w:rsidP="00093CA9">
            <w:r w:rsidRPr="006B7B0D">
              <w:lastRenderedPageBreak/>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A5DF540">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A5DF540">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A5DF540">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A5DF540">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A5DF540">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A5DF540">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A5DF540">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A5DF540">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A5DF540">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A5DF540">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A5DF540">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3A65C3EB" w14:textId="77777777" w:rsidR="00093CA9" w:rsidRDefault="00950873" w:rsidP="00093CA9">
            <w:r w:rsidRPr="00950873">
              <w:t>The European Commission is perceived as having a high capacity to undertake the implementation oversight and enforcement of</w:t>
            </w:r>
            <w:r>
              <w:t xml:space="preserve"> RED II. This assessment is based on:</w:t>
            </w:r>
          </w:p>
          <w:p w14:paraId="3C791233" w14:textId="77777777" w:rsidR="00950873" w:rsidRDefault="00950873" w:rsidP="00093CA9">
            <w:r>
              <w:t xml:space="preserve">- </w:t>
            </w:r>
            <w:r w:rsidRPr="00950873">
              <w:t xml:space="preserve">Its central role in monitoring compliance with EU law across all Member </w:t>
            </w:r>
            <w:proofErr w:type="gramStart"/>
            <w:r w:rsidRPr="00950873">
              <w:t>States;</w:t>
            </w:r>
            <w:proofErr w:type="gramEnd"/>
          </w:p>
          <w:p w14:paraId="7F3E6117" w14:textId="77777777" w:rsidR="00950873" w:rsidRDefault="00950873" w:rsidP="00093CA9">
            <w:r>
              <w:t xml:space="preserve">- </w:t>
            </w:r>
            <w:r w:rsidRPr="00950873">
              <w:t xml:space="preserve">Its technical and legal resources, including DG ENER (Directorate-General for Energy), which is directly responsible for energy </w:t>
            </w:r>
            <w:proofErr w:type="gramStart"/>
            <w:r w:rsidRPr="00950873">
              <w:t>policy;</w:t>
            </w:r>
            <w:proofErr w:type="gramEnd"/>
          </w:p>
          <w:p w14:paraId="42D06D03" w14:textId="771D3835" w:rsidR="00950873" w:rsidRDefault="00950873" w:rsidP="00093CA9">
            <w:r>
              <w:t xml:space="preserve">- </w:t>
            </w:r>
            <w:r w:rsidRPr="00950873">
              <w:t>Its power to initiate infringement proceedings</w:t>
            </w:r>
            <w:r>
              <w:t>.</w:t>
            </w:r>
          </w:p>
        </w:tc>
      </w:tr>
      <w:tr w:rsidR="00093CA9" w14:paraId="7C1E73C1" w14:textId="77777777" w:rsidTr="4A5DF540">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A5DF540">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4A5DF540">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21C21F14" w:rsidR="00093CA9" w:rsidRDefault="00684F04" w:rsidP="00093CA9">
            <w:r>
              <w:t>X</w:t>
            </w:r>
          </w:p>
        </w:tc>
      </w:tr>
      <w:tr w:rsidR="00093CA9" w14:paraId="0763562F" w14:textId="77777777" w:rsidTr="4A5DF540">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A5DF540">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6E5BAF30" w14:textId="3DC7ACCB" w:rsidR="00684F04" w:rsidRPr="00684F04" w:rsidRDefault="00684F04" w:rsidP="00684F04">
            <w:pPr>
              <w:keepNext/>
              <w:rPr>
                <w:color w:val="000000" w:themeColor="text1"/>
              </w:rPr>
            </w:pPr>
            <w:r>
              <w:rPr>
                <w:color w:val="000000" w:themeColor="text1"/>
              </w:rPr>
              <w:t>- A</w:t>
            </w:r>
            <w:r w:rsidRPr="00684F04">
              <w:rPr>
                <w:color w:val="000000" w:themeColor="text1"/>
              </w:rPr>
              <w:t xml:space="preserve">rticle 3(2) requires Member States to set national contributions and report them through their integrated national energy and climate plans (NECPs) in accordance with Regulation (EU) </w:t>
            </w:r>
            <w:proofErr w:type="gramStart"/>
            <w:r w:rsidRPr="00684F04">
              <w:rPr>
                <w:color w:val="000000" w:themeColor="text1"/>
              </w:rPr>
              <w:t>2018/1999</w:t>
            </w:r>
            <w:r w:rsidR="00886676">
              <w:rPr>
                <w:color w:val="000000" w:themeColor="text1"/>
              </w:rPr>
              <w:t>;</w:t>
            </w:r>
            <w:proofErr w:type="gramEnd"/>
          </w:p>
          <w:p w14:paraId="534D6ED0" w14:textId="260C46F8" w:rsidR="00684F04" w:rsidRPr="00684F04" w:rsidRDefault="00684F04" w:rsidP="00684F04">
            <w:pPr>
              <w:keepNext/>
              <w:rPr>
                <w:color w:val="000000" w:themeColor="text1"/>
              </w:rPr>
            </w:pPr>
            <w:r>
              <w:rPr>
                <w:color w:val="000000" w:themeColor="text1"/>
              </w:rPr>
              <w:t xml:space="preserve">- </w:t>
            </w:r>
            <w:r w:rsidRPr="00684F04">
              <w:rPr>
                <w:color w:val="000000" w:themeColor="text1"/>
              </w:rPr>
              <w:t xml:space="preserve">Article 3(4a) allows Member States to include summaries of policies and measures and assessments of implementation in their NECPs and progress </w:t>
            </w:r>
            <w:proofErr w:type="gramStart"/>
            <w:r w:rsidRPr="00684F04">
              <w:rPr>
                <w:color w:val="000000" w:themeColor="text1"/>
              </w:rPr>
              <w:t>reports</w:t>
            </w:r>
            <w:r w:rsidR="00886676">
              <w:rPr>
                <w:color w:val="000000" w:themeColor="text1"/>
              </w:rPr>
              <w:t>;</w:t>
            </w:r>
            <w:proofErr w:type="gramEnd"/>
          </w:p>
          <w:p w14:paraId="2538A2D8" w14:textId="0D4D86FB" w:rsidR="00684F04" w:rsidRPr="00684F04" w:rsidRDefault="00684F04" w:rsidP="00684F04">
            <w:pPr>
              <w:keepNext/>
              <w:rPr>
                <w:color w:val="000000" w:themeColor="text1"/>
              </w:rPr>
            </w:pPr>
            <w:r>
              <w:rPr>
                <w:color w:val="000000" w:themeColor="text1"/>
              </w:rPr>
              <w:t xml:space="preserve">- </w:t>
            </w:r>
            <w:r w:rsidRPr="00684F04">
              <w:rPr>
                <w:color w:val="000000" w:themeColor="text1"/>
              </w:rPr>
              <w:t xml:space="preserve">Article 8(2) establishes a Union Renewable Development Platform (URDP) to facilitate and track statistical transfers between Member </w:t>
            </w:r>
            <w:proofErr w:type="gramStart"/>
            <w:r w:rsidRPr="00684F04">
              <w:rPr>
                <w:color w:val="000000" w:themeColor="text1"/>
              </w:rPr>
              <w:t>States</w:t>
            </w:r>
            <w:r w:rsidR="00886676">
              <w:rPr>
                <w:color w:val="000000" w:themeColor="text1"/>
              </w:rPr>
              <w:t>;</w:t>
            </w:r>
            <w:proofErr w:type="gramEnd"/>
          </w:p>
          <w:p w14:paraId="3EA82F23" w14:textId="5E554C37" w:rsidR="00093CA9" w:rsidRDefault="00684F04" w:rsidP="00684F04">
            <w:pPr>
              <w:keepNext/>
              <w:rPr>
                <w:color w:val="000000" w:themeColor="text1"/>
              </w:rPr>
            </w:pPr>
            <w:r>
              <w:rPr>
                <w:color w:val="000000" w:themeColor="text1"/>
              </w:rPr>
              <w:t xml:space="preserve">- </w:t>
            </w:r>
            <w:r w:rsidRPr="00684F04">
              <w:rPr>
                <w:color w:val="000000" w:themeColor="text1"/>
              </w:rPr>
              <w:t>The European Commission is tasked with publishing regular reports</w:t>
            </w:r>
            <w:r w:rsidR="00A51E25">
              <w:rPr>
                <w:color w:val="000000" w:themeColor="text1"/>
              </w:rPr>
              <w:t xml:space="preserve"> (every three years)</w:t>
            </w:r>
            <w:r w:rsidRPr="00684F04">
              <w:rPr>
                <w:color w:val="000000" w:themeColor="text1"/>
              </w:rPr>
              <w:t xml:space="preserve"> under Article 4(8) and conducting assessments and reviews under Article 3(3d).</w:t>
            </w:r>
          </w:p>
          <w:p w14:paraId="2C2128DB" w14:textId="6E6AD89C" w:rsidR="00245CC1" w:rsidRPr="008017F9" w:rsidRDefault="00245CC1" w:rsidP="00684F04">
            <w:pPr>
              <w:keepNext/>
              <w:rPr>
                <w:color w:val="000000" w:themeColor="text1"/>
              </w:rPr>
            </w:pPr>
            <w:r w:rsidRPr="00245CC1">
              <w:rPr>
                <w:color w:val="000000" w:themeColor="text1"/>
              </w:rPr>
              <w:t>These systems constitute a robust and multi-level monitoring framework, involving both Member States and the Commission.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633172" w:rsidRPr="00610F28" w14:paraId="30EC8855" w14:textId="77777777" w:rsidTr="00610F28">
        <w:trPr>
          <w:trHeight w:val="24"/>
        </w:trPr>
        <w:tc>
          <w:tcPr>
            <w:tcW w:w="1066" w:type="dxa"/>
            <w:vAlign w:val="center"/>
          </w:tcPr>
          <w:p w14:paraId="04D7EE28" w14:textId="099BBC82" w:rsidR="00633172" w:rsidRPr="00610F28" w:rsidRDefault="00633172" w:rsidP="0063317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51743F36" w:rsidR="00633172" w:rsidRPr="00610F28" w:rsidRDefault="00633172" w:rsidP="00633172">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633172" w:rsidRPr="00610F28" w:rsidRDefault="00633172" w:rsidP="00633172">
            <w:pPr>
              <w:rPr>
                <w:rFonts w:ascii="Calibri" w:hAnsi="Calibri" w:cs="Calibri"/>
              </w:rPr>
            </w:pPr>
          </w:p>
        </w:tc>
        <w:tc>
          <w:tcPr>
            <w:tcW w:w="1740" w:type="dxa"/>
            <w:vAlign w:val="center"/>
          </w:tcPr>
          <w:p w14:paraId="61AE2F42" w14:textId="77777777" w:rsidR="00633172" w:rsidRPr="00610F28" w:rsidRDefault="00633172" w:rsidP="00633172">
            <w:pPr>
              <w:rPr>
                <w:rFonts w:ascii="Calibri" w:hAnsi="Calibri" w:cs="Calibri"/>
              </w:rPr>
            </w:pPr>
          </w:p>
        </w:tc>
        <w:tc>
          <w:tcPr>
            <w:tcW w:w="1740" w:type="dxa"/>
            <w:vAlign w:val="center"/>
          </w:tcPr>
          <w:p w14:paraId="7257E4AC" w14:textId="3EA2B41D" w:rsidR="00633172" w:rsidRPr="00610F28" w:rsidRDefault="0031007C" w:rsidP="00633172">
            <w:pPr>
              <w:rPr>
                <w:rFonts w:ascii="Calibri" w:hAnsi="Calibri" w:cs="Calibri"/>
              </w:rPr>
            </w:pPr>
            <w:r>
              <w:rPr>
                <w:rFonts w:ascii="Calibri" w:hAnsi="Calibri" w:cs="Calibri"/>
              </w:rPr>
              <w:t>X</w:t>
            </w:r>
          </w:p>
        </w:tc>
      </w:tr>
      <w:tr w:rsidR="00633172" w:rsidRPr="00610F28" w14:paraId="03313D98" w14:textId="77777777" w:rsidTr="00610F28">
        <w:trPr>
          <w:trHeight w:val="24"/>
        </w:trPr>
        <w:tc>
          <w:tcPr>
            <w:tcW w:w="1066" w:type="dxa"/>
            <w:vAlign w:val="center"/>
          </w:tcPr>
          <w:p w14:paraId="7D36E34A" w14:textId="15ACAF90" w:rsidR="00633172" w:rsidRPr="00610F28" w:rsidRDefault="00633172" w:rsidP="00633172">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5484E6F8" w:rsidR="00633172" w:rsidRPr="00610F28" w:rsidRDefault="00633172" w:rsidP="00633172">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633172" w:rsidRPr="00610F28" w:rsidRDefault="00633172" w:rsidP="00633172">
            <w:pPr>
              <w:rPr>
                <w:rFonts w:ascii="Calibri" w:hAnsi="Calibri" w:cs="Calibri"/>
              </w:rPr>
            </w:pPr>
          </w:p>
        </w:tc>
        <w:tc>
          <w:tcPr>
            <w:tcW w:w="1740" w:type="dxa"/>
            <w:vAlign w:val="center"/>
          </w:tcPr>
          <w:p w14:paraId="19CD4AFC" w14:textId="16B47AA7"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73C261DC" w14:textId="77777777" w:rsidR="00633172" w:rsidRPr="00610F28" w:rsidRDefault="00633172" w:rsidP="00633172">
            <w:pPr>
              <w:rPr>
                <w:rFonts w:ascii="Calibri" w:hAnsi="Calibri" w:cs="Calibri"/>
              </w:rPr>
            </w:pPr>
          </w:p>
        </w:tc>
      </w:tr>
      <w:tr w:rsidR="00633172" w:rsidRPr="00610F28" w14:paraId="59183813" w14:textId="77777777" w:rsidTr="00610F28">
        <w:trPr>
          <w:trHeight w:val="24"/>
        </w:trPr>
        <w:tc>
          <w:tcPr>
            <w:tcW w:w="1066" w:type="dxa"/>
            <w:vAlign w:val="center"/>
          </w:tcPr>
          <w:p w14:paraId="1314AFB0" w14:textId="725C6636" w:rsidR="00633172" w:rsidRPr="00610F28" w:rsidRDefault="00633172" w:rsidP="00633172">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EA93BD6" w:rsidR="00633172" w:rsidRPr="00610F28" w:rsidRDefault="00633172" w:rsidP="00633172">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633172" w:rsidRPr="00610F28" w:rsidRDefault="00633172" w:rsidP="00633172">
            <w:pPr>
              <w:rPr>
                <w:rFonts w:ascii="Calibri" w:hAnsi="Calibri" w:cs="Calibri"/>
              </w:rPr>
            </w:pPr>
          </w:p>
        </w:tc>
        <w:tc>
          <w:tcPr>
            <w:tcW w:w="1740" w:type="dxa"/>
            <w:vAlign w:val="center"/>
          </w:tcPr>
          <w:p w14:paraId="2C5216D1" w14:textId="77777777" w:rsidR="00633172" w:rsidRPr="00610F28" w:rsidRDefault="00633172" w:rsidP="00633172">
            <w:pPr>
              <w:rPr>
                <w:rFonts w:ascii="Calibri" w:hAnsi="Calibri" w:cs="Calibri"/>
              </w:rPr>
            </w:pPr>
          </w:p>
        </w:tc>
        <w:tc>
          <w:tcPr>
            <w:tcW w:w="1740" w:type="dxa"/>
            <w:vAlign w:val="center"/>
          </w:tcPr>
          <w:p w14:paraId="6442287D" w14:textId="02E49854" w:rsidR="00633172" w:rsidRPr="00610F28" w:rsidRDefault="0031007C" w:rsidP="00633172">
            <w:pPr>
              <w:rPr>
                <w:rFonts w:ascii="Calibri" w:hAnsi="Calibri" w:cs="Calibri"/>
              </w:rPr>
            </w:pPr>
            <w:r>
              <w:rPr>
                <w:rFonts w:ascii="Calibri" w:hAnsi="Calibri" w:cs="Calibri"/>
              </w:rPr>
              <w:t>X</w:t>
            </w:r>
          </w:p>
        </w:tc>
      </w:tr>
      <w:tr w:rsidR="00633172" w:rsidRPr="00610F28" w14:paraId="48369ACB" w14:textId="77777777" w:rsidTr="00610F28">
        <w:trPr>
          <w:trHeight w:val="24"/>
        </w:trPr>
        <w:tc>
          <w:tcPr>
            <w:tcW w:w="1066" w:type="dxa"/>
            <w:vAlign w:val="center"/>
          </w:tcPr>
          <w:p w14:paraId="112C03A0" w14:textId="67B36F81" w:rsidR="00633172" w:rsidRPr="00610F28" w:rsidRDefault="00633172" w:rsidP="00633172">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11906C2B" w:rsidR="00633172" w:rsidRPr="00610F28" w:rsidRDefault="00633172" w:rsidP="00633172">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633172" w:rsidRPr="00610F28" w:rsidRDefault="00633172" w:rsidP="00633172">
            <w:pPr>
              <w:rPr>
                <w:rFonts w:ascii="Calibri" w:hAnsi="Calibri" w:cs="Calibri"/>
              </w:rPr>
            </w:pPr>
          </w:p>
        </w:tc>
        <w:tc>
          <w:tcPr>
            <w:tcW w:w="1740" w:type="dxa"/>
            <w:vAlign w:val="center"/>
          </w:tcPr>
          <w:p w14:paraId="1DB61E0D" w14:textId="5A461D7B" w:rsidR="00633172" w:rsidRPr="00610F28" w:rsidRDefault="00AB1A01" w:rsidP="00633172">
            <w:pPr>
              <w:rPr>
                <w:rFonts w:ascii="Calibri" w:hAnsi="Calibri" w:cs="Calibri"/>
              </w:rPr>
            </w:pPr>
            <w:r>
              <w:rPr>
                <w:rFonts w:ascii="Calibri" w:hAnsi="Calibri" w:cs="Calibri"/>
              </w:rPr>
              <w:t>X</w:t>
            </w:r>
          </w:p>
        </w:tc>
        <w:tc>
          <w:tcPr>
            <w:tcW w:w="1740" w:type="dxa"/>
            <w:vAlign w:val="center"/>
          </w:tcPr>
          <w:p w14:paraId="6EAB99C2" w14:textId="77777777" w:rsidR="00633172" w:rsidRPr="00610F28" w:rsidRDefault="00633172" w:rsidP="00633172">
            <w:pPr>
              <w:rPr>
                <w:rFonts w:ascii="Calibri" w:hAnsi="Calibri" w:cs="Calibri"/>
              </w:rPr>
            </w:pPr>
          </w:p>
        </w:tc>
      </w:tr>
      <w:tr w:rsidR="00633172" w:rsidRPr="00610F28" w14:paraId="7D41F093" w14:textId="77777777" w:rsidTr="00610F28">
        <w:trPr>
          <w:trHeight w:val="24"/>
        </w:trPr>
        <w:tc>
          <w:tcPr>
            <w:tcW w:w="1066" w:type="dxa"/>
            <w:vAlign w:val="center"/>
          </w:tcPr>
          <w:p w14:paraId="71DD2633" w14:textId="1251887A" w:rsidR="00633172" w:rsidRPr="00610F28" w:rsidRDefault="00633172" w:rsidP="00633172">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45D7B6F0" w:rsidR="00633172" w:rsidRPr="00610F28" w:rsidRDefault="00633172" w:rsidP="00633172">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633172" w:rsidRPr="00610F28" w:rsidRDefault="00633172" w:rsidP="00633172">
            <w:pPr>
              <w:rPr>
                <w:rFonts w:ascii="Calibri" w:hAnsi="Calibri" w:cs="Calibri"/>
              </w:rPr>
            </w:pPr>
          </w:p>
        </w:tc>
        <w:tc>
          <w:tcPr>
            <w:tcW w:w="1740" w:type="dxa"/>
            <w:vAlign w:val="center"/>
          </w:tcPr>
          <w:p w14:paraId="3E65D27D" w14:textId="77777777" w:rsidR="00633172" w:rsidRPr="00610F28" w:rsidRDefault="00633172" w:rsidP="00633172">
            <w:pPr>
              <w:rPr>
                <w:rFonts w:ascii="Calibri" w:hAnsi="Calibri" w:cs="Calibri"/>
              </w:rPr>
            </w:pPr>
          </w:p>
        </w:tc>
        <w:tc>
          <w:tcPr>
            <w:tcW w:w="1740" w:type="dxa"/>
            <w:vAlign w:val="center"/>
          </w:tcPr>
          <w:p w14:paraId="6348DC8D" w14:textId="24D20BA0" w:rsidR="00633172" w:rsidRPr="00610F28" w:rsidRDefault="0031007C" w:rsidP="00633172">
            <w:pPr>
              <w:rPr>
                <w:rFonts w:ascii="Calibri" w:hAnsi="Calibri" w:cs="Calibri"/>
              </w:rPr>
            </w:pPr>
            <w:r>
              <w:rPr>
                <w:rFonts w:ascii="Calibri" w:hAnsi="Calibri" w:cs="Calibri"/>
              </w:rPr>
              <w:t>X</w:t>
            </w:r>
          </w:p>
        </w:tc>
      </w:tr>
      <w:tr w:rsidR="00633172" w:rsidRPr="00610F28" w14:paraId="543BC3CB" w14:textId="77777777" w:rsidTr="00610F28">
        <w:trPr>
          <w:trHeight w:val="300"/>
        </w:trPr>
        <w:tc>
          <w:tcPr>
            <w:tcW w:w="1066" w:type="dxa"/>
            <w:vAlign w:val="center"/>
          </w:tcPr>
          <w:p w14:paraId="65B7320F" w14:textId="29707F44" w:rsidR="00633172" w:rsidRPr="00610F28" w:rsidRDefault="00633172" w:rsidP="00633172">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1A584A91" w:rsidR="00633172" w:rsidRPr="00610F28" w:rsidRDefault="00633172" w:rsidP="00633172">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633172" w:rsidRPr="00610F28" w:rsidRDefault="00633172" w:rsidP="00633172">
            <w:pPr>
              <w:rPr>
                <w:rFonts w:ascii="Calibri" w:hAnsi="Calibri" w:cs="Calibri"/>
              </w:rPr>
            </w:pPr>
          </w:p>
        </w:tc>
        <w:tc>
          <w:tcPr>
            <w:tcW w:w="1740" w:type="dxa"/>
            <w:vAlign w:val="center"/>
          </w:tcPr>
          <w:p w14:paraId="092AA484" w14:textId="2914B106"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43F62023" w14:textId="77777777" w:rsidR="00633172" w:rsidRPr="00610F28" w:rsidRDefault="00633172" w:rsidP="00633172">
            <w:pPr>
              <w:rPr>
                <w:rFonts w:ascii="Calibri" w:hAnsi="Calibri" w:cs="Calibri"/>
              </w:rPr>
            </w:pPr>
          </w:p>
        </w:tc>
      </w:tr>
      <w:tr w:rsidR="00633172" w:rsidRPr="00610F28" w14:paraId="138A0549" w14:textId="77777777" w:rsidTr="00610F28">
        <w:trPr>
          <w:trHeight w:val="24"/>
        </w:trPr>
        <w:tc>
          <w:tcPr>
            <w:tcW w:w="1066" w:type="dxa"/>
            <w:vAlign w:val="center"/>
          </w:tcPr>
          <w:p w14:paraId="13D31DDD" w14:textId="2008C838" w:rsidR="00633172" w:rsidRPr="00610F28" w:rsidRDefault="00633172" w:rsidP="00633172">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2721B6BD" w:rsidR="00633172" w:rsidRPr="00610F28" w:rsidRDefault="00633172" w:rsidP="00633172">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633172" w:rsidRPr="00610F28" w:rsidRDefault="00633172" w:rsidP="00633172">
            <w:pPr>
              <w:rPr>
                <w:rFonts w:ascii="Calibri" w:hAnsi="Calibri" w:cs="Calibri"/>
              </w:rPr>
            </w:pPr>
          </w:p>
        </w:tc>
        <w:tc>
          <w:tcPr>
            <w:tcW w:w="1740" w:type="dxa"/>
            <w:vAlign w:val="center"/>
          </w:tcPr>
          <w:p w14:paraId="77554DF9" w14:textId="19D7F9FD"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1E9D4C6F" w14:textId="77777777" w:rsidR="00633172" w:rsidRPr="00610F28" w:rsidRDefault="00633172" w:rsidP="00633172">
            <w:pPr>
              <w:rPr>
                <w:rFonts w:ascii="Calibri" w:hAnsi="Calibri" w:cs="Calibri"/>
              </w:rPr>
            </w:pPr>
          </w:p>
        </w:tc>
      </w:tr>
      <w:tr w:rsidR="00633172" w:rsidRPr="00610F28" w14:paraId="25565D6D" w14:textId="77777777" w:rsidTr="00610F28">
        <w:trPr>
          <w:trHeight w:val="300"/>
        </w:trPr>
        <w:tc>
          <w:tcPr>
            <w:tcW w:w="1066" w:type="dxa"/>
            <w:vAlign w:val="center"/>
          </w:tcPr>
          <w:p w14:paraId="30F97585" w14:textId="1F91E64B" w:rsidR="00633172" w:rsidRPr="00610F28" w:rsidRDefault="00633172" w:rsidP="00633172">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90EC93A" w:rsidR="00633172" w:rsidRPr="00610F28" w:rsidRDefault="00633172" w:rsidP="00633172">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633172" w:rsidRPr="00610F28" w:rsidRDefault="00633172" w:rsidP="00633172">
            <w:pPr>
              <w:rPr>
                <w:rFonts w:ascii="Calibri" w:hAnsi="Calibri" w:cs="Calibri"/>
              </w:rPr>
            </w:pPr>
          </w:p>
        </w:tc>
        <w:tc>
          <w:tcPr>
            <w:tcW w:w="1740" w:type="dxa"/>
            <w:vAlign w:val="center"/>
          </w:tcPr>
          <w:p w14:paraId="27B6EE00" w14:textId="0D9E2B57"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2FD54F77" w14:textId="77777777" w:rsidR="00633172" w:rsidRPr="00610F28" w:rsidRDefault="00633172" w:rsidP="00633172">
            <w:pPr>
              <w:rPr>
                <w:rFonts w:ascii="Calibri" w:hAnsi="Calibri" w:cs="Calibri"/>
              </w:rPr>
            </w:pPr>
          </w:p>
        </w:tc>
      </w:tr>
      <w:tr w:rsidR="00633172" w:rsidRPr="00610F28" w14:paraId="009102A2" w14:textId="77777777" w:rsidTr="00610F28">
        <w:trPr>
          <w:trHeight w:val="300"/>
        </w:trPr>
        <w:tc>
          <w:tcPr>
            <w:tcW w:w="1066" w:type="dxa"/>
            <w:vAlign w:val="center"/>
          </w:tcPr>
          <w:p w14:paraId="7D4AE63A" w14:textId="5AC35F5A" w:rsidR="00633172" w:rsidRPr="00610F28" w:rsidRDefault="00633172" w:rsidP="00633172">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14F812F1" w:rsidR="00633172" w:rsidRPr="00610F28" w:rsidRDefault="00633172" w:rsidP="00633172">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633172" w:rsidRPr="00610F28" w:rsidRDefault="00633172" w:rsidP="00633172">
            <w:pPr>
              <w:rPr>
                <w:rFonts w:ascii="Calibri" w:hAnsi="Calibri" w:cs="Calibri"/>
              </w:rPr>
            </w:pPr>
          </w:p>
        </w:tc>
        <w:tc>
          <w:tcPr>
            <w:tcW w:w="1740" w:type="dxa"/>
            <w:vAlign w:val="center"/>
          </w:tcPr>
          <w:p w14:paraId="3D9E5463" w14:textId="52F8D132" w:rsidR="00633172" w:rsidRPr="00610F28" w:rsidRDefault="00633172" w:rsidP="00633172">
            <w:pPr>
              <w:rPr>
                <w:rFonts w:ascii="Calibri" w:hAnsi="Calibri" w:cs="Calibri"/>
              </w:rPr>
            </w:pPr>
          </w:p>
        </w:tc>
        <w:tc>
          <w:tcPr>
            <w:tcW w:w="1740" w:type="dxa"/>
            <w:vAlign w:val="center"/>
          </w:tcPr>
          <w:p w14:paraId="7E182D5B" w14:textId="2E7E430E" w:rsidR="00633172" w:rsidRPr="00610F28" w:rsidRDefault="0031007C" w:rsidP="00633172">
            <w:pPr>
              <w:rPr>
                <w:rFonts w:ascii="Calibri" w:hAnsi="Calibri" w:cs="Calibri"/>
              </w:rPr>
            </w:pPr>
            <w:r>
              <w:rPr>
                <w:rFonts w:ascii="Calibri" w:hAnsi="Calibri" w:cs="Calibri"/>
              </w:rPr>
              <w:t>X</w:t>
            </w:r>
          </w:p>
        </w:tc>
      </w:tr>
      <w:tr w:rsidR="00633172" w:rsidRPr="00610F28" w14:paraId="5040D6F1" w14:textId="77777777" w:rsidTr="00610F28">
        <w:trPr>
          <w:trHeight w:val="300"/>
        </w:trPr>
        <w:tc>
          <w:tcPr>
            <w:tcW w:w="1066" w:type="dxa"/>
            <w:vAlign w:val="center"/>
          </w:tcPr>
          <w:p w14:paraId="561EBD05" w14:textId="0191F710" w:rsidR="00633172" w:rsidRPr="00610F28" w:rsidRDefault="00633172" w:rsidP="00633172">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47F669A6" w:rsidR="00633172" w:rsidRPr="00610F28" w:rsidRDefault="00633172" w:rsidP="00633172">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633172" w:rsidRPr="00610F28" w:rsidRDefault="00633172" w:rsidP="00633172">
            <w:pPr>
              <w:rPr>
                <w:rFonts w:ascii="Calibri" w:hAnsi="Calibri" w:cs="Calibri"/>
              </w:rPr>
            </w:pPr>
          </w:p>
        </w:tc>
        <w:tc>
          <w:tcPr>
            <w:tcW w:w="1740" w:type="dxa"/>
            <w:vAlign w:val="center"/>
          </w:tcPr>
          <w:p w14:paraId="133084FA" w14:textId="3CDF4C66"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476A335A" w14:textId="77777777" w:rsidR="00633172" w:rsidRPr="00610F28" w:rsidRDefault="00633172" w:rsidP="00633172">
            <w:pPr>
              <w:rPr>
                <w:rFonts w:ascii="Calibri" w:hAnsi="Calibri" w:cs="Calibri"/>
              </w:rPr>
            </w:pPr>
          </w:p>
        </w:tc>
      </w:tr>
      <w:tr w:rsidR="00633172" w:rsidRPr="00610F28" w14:paraId="2B35CCE8" w14:textId="77777777" w:rsidTr="00610F28">
        <w:trPr>
          <w:trHeight w:val="300"/>
        </w:trPr>
        <w:tc>
          <w:tcPr>
            <w:tcW w:w="1066" w:type="dxa"/>
            <w:vAlign w:val="center"/>
          </w:tcPr>
          <w:p w14:paraId="6282ADD2" w14:textId="0FB256AD" w:rsidR="00633172" w:rsidRPr="00610F28" w:rsidRDefault="00633172" w:rsidP="00633172">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56F2A27F" w:rsidR="00633172" w:rsidRPr="00610F28" w:rsidRDefault="00633172" w:rsidP="00633172">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633172" w:rsidRPr="00610F28" w:rsidRDefault="00633172" w:rsidP="00633172">
            <w:pPr>
              <w:rPr>
                <w:rFonts w:ascii="Calibri" w:hAnsi="Calibri" w:cs="Calibri"/>
              </w:rPr>
            </w:pPr>
          </w:p>
        </w:tc>
        <w:tc>
          <w:tcPr>
            <w:tcW w:w="1740" w:type="dxa"/>
            <w:vAlign w:val="center"/>
          </w:tcPr>
          <w:p w14:paraId="44C14213" w14:textId="5D82B680"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4510A925" w14:textId="77777777" w:rsidR="00633172" w:rsidRPr="00610F28" w:rsidRDefault="00633172" w:rsidP="00633172">
            <w:pPr>
              <w:rPr>
                <w:rFonts w:ascii="Calibri" w:hAnsi="Calibri" w:cs="Calibri"/>
              </w:rPr>
            </w:pPr>
          </w:p>
        </w:tc>
      </w:tr>
      <w:tr w:rsidR="00633172" w:rsidRPr="00610F28" w14:paraId="63AC8EAE" w14:textId="77777777" w:rsidTr="00610F28">
        <w:trPr>
          <w:trHeight w:val="24"/>
        </w:trPr>
        <w:tc>
          <w:tcPr>
            <w:tcW w:w="1066" w:type="dxa"/>
            <w:vAlign w:val="center"/>
          </w:tcPr>
          <w:p w14:paraId="4A02994D" w14:textId="6D38F21A" w:rsidR="00633172" w:rsidRPr="00610F28" w:rsidRDefault="00633172" w:rsidP="00633172">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843DC1" w:rsidR="00633172" w:rsidRPr="00610F28" w:rsidRDefault="00633172" w:rsidP="00633172">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633172" w:rsidRPr="00610F28" w:rsidRDefault="00633172" w:rsidP="00633172">
            <w:pPr>
              <w:rPr>
                <w:rFonts w:ascii="Calibri" w:hAnsi="Calibri" w:cs="Calibri"/>
              </w:rPr>
            </w:pPr>
          </w:p>
        </w:tc>
        <w:tc>
          <w:tcPr>
            <w:tcW w:w="1740" w:type="dxa"/>
            <w:vAlign w:val="center"/>
          </w:tcPr>
          <w:p w14:paraId="209EDD65" w14:textId="77777777" w:rsidR="00633172" w:rsidRPr="00610F28" w:rsidRDefault="00633172" w:rsidP="00633172">
            <w:pPr>
              <w:rPr>
                <w:rFonts w:ascii="Calibri" w:hAnsi="Calibri" w:cs="Calibri"/>
              </w:rPr>
            </w:pPr>
          </w:p>
        </w:tc>
        <w:tc>
          <w:tcPr>
            <w:tcW w:w="1740" w:type="dxa"/>
            <w:vAlign w:val="center"/>
          </w:tcPr>
          <w:p w14:paraId="09A03F64" w14:textId="7AA03758" w:rsidR="00633172" w:rsidRPr="00610F28" w:rsidRDefault="0031007C" w:rsidP="00633172">
            <w:pPr>
              <w:rPr>
                <w:rFonts w:ascii="Calibri" w:hAnsi="Calibri" w:cs="Calibri"/>
              </w:rPr>
            </w:pPr>
            <w:r>
              <w:rPr>
                <w:rFonts w:ascii="Calibri" w:hAnsi="Calibri" w:cs="Calibri"/>
              </w:rPr>
              <w:t>X</w:t>
            </w:r>
          </w:p>
        </w:tc>
      </w:tr>
      <w:tr w:rsidR="00633172" w:rsidRPr="00610F28" w14:paraId="1A8575DF" w14:textId="77777777" w:rsidTr="00610F28">
        <w:trPr>
          <w:trHeight w:val="24"/>
        </w:trPr>
        <w:tc>
          <w:tcPr>
            <w:tcW w:w="1066" w:type="dxa"/>
            <w:vAlign w:val="center"/>
          </w:tcPr>
          <w:p w14:paraId="6DEAA19E" w14:textId="5CAC2C1D" w:rsidR="00633172" w:rsidRPr="00610F28" w:rsidRDefault="00633172" w:rsidP="00633172">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2AFC8FD6" w:rsidR="00633172" w:rsidRPr="00610F28" w:rsidRDefault="00633172" w:rsidP="00633172">
            <w:pPr>
              <w:rPr>
                <w:rFonts w:ascii="Calibri" w:hAnsi="Calibri" w:cs="Calibri"/>
              </w:rPr>
            </w:pPr>
            <w:r w:rsidRPr="00610F28">
              <w:rPr>
                <w:rFonts w:ascii="Calibri" w:hAnsi="Calibri" w:cs="Calibri"/>
              </w:rPr>
              <w:t>Other</w:t>
            </w:r>
          </w:p>
        </w:tc>
        <w:tc>
          <w:tcPr>
            <w:tcW w:w="1740" w:type="dxa"/>
            <w:vAlign w:val="center"/>
          </w:tcPr>
          <w:p w14:paraId="0DA1CE7A" w14:textId="77777777" w:rsidR="00633172" w:rsidRPr="00610F28" w:rsidRDefault="00633172" w:rsidP="00633172">
            <w:pPr>
              <w:rPr>
                <w:rFonts w:ascii="Calibri" w:hAnsi="Calibri" w:cs="Calibri"/>
              </w:rPr>
            </w:pPr>
          </w:p>
        </w:tc>
        <w:tc>
          <w:tcPr>
            <w:tcW w:w="1740" w:type="dxa"/>
            <w:vAlign w:val="center"/>
          </w:tcPr>
          <w:p w14:paraId="137AC596" w14:textId="6F782BEB" w:rsidR="00633172" w:rsidRPr="00610F28" w:rsidRDefault="0031007C" w:rsidP="00633172">
            <w:pPr>
              <w:rPr>
                <w:rFonts w:ascii="Calibri" w:hAnsi="Calibri" w:cs="Calibri"/>
              </w:rPr>
            </w:pPr>
            <w:r>
              <w:rPr>
                <w:rFonts w:ascii="Calibri" w:hAnsi="Calibri" w:cs="Calibri"/>
              </w:rPr>
              <w:t>X</w:t>
            </w:r>
          </w:p>
        </w:tc>
        <w:tc>
          <w:tcPr>
            <w:tcW w:w="1740" w:type="dxa"/>
            <w:vAlign w:val="center"/>
          </w:tcPr>
          <w:p w14:paraId="67FAC5DC" w14:textId="77777777" w:rsidR="00633172" w:rsidRPr="00610F28" w:rsidRDefault="00633172" w:rsidP="00633172">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642D4323" w:rsidR="00C66EE0" w:rsidRPr="00610F28" w:rsidRDefault="00FE2555" w:rsidP="00610F28">
            <w:pPr>
              <w:rPr>
                <w:rFonts w:ascii="Calibri" w:hAnsi="Calibri" w:cs="Calibri"/>
              </w:rPr>
            </w:pPr>
            <w:r w:rsidRPr="00FE2555">
              <w:rPr>
                <w:rFonts w:ascii="Calibri" w:hAnsi="Calibri" w:cs="Calibri"/>
              </w:rPr>
              <w:t>Defined and supported actors (Art</w:t>
            </w:r>
            <w:r>
              <w:rPr>
                <w:rFonts w:ascii="Calibri" w:hAnsi="Calibri" w:cs="Calibri"/>
              </w:rPr>
              <w:t>icle</w:t>
            </w:r>
            <w:r w:rsidRPr="00FE2555">
              <w:rPr>
                <w:rFonts w:ascii="Calibri" w:hAnsi="Calibri" w:cs="Calibri"/>
              </w:rPr>
              <w:t xml:space="preserve"> 2(14)</w:t>
            </w:r>
            <w:r w:rsidR="00DD51AB">
              <w:rPr>
                <w:rFonts w:ascii="Calibri" w:hAnsi="Calibri" w:cs="Calibri"/>
              </w:rPr>
              <w:t>-(</w:t>
            </w:r>
            <w:r w:rsidRPr="00FE2555">
              <w:rPr>
                <w:rFonts w:ascii="Calibri" w:hAnsi="Calibri" w:cs="Calibri"/>
              </w:rPr>
              <w:t>16))</w:t>
            </w:r>
            <w:r>
              <w:rPr>
                <w:rFonts w:ascii="Calibri" w:hAnsi="Calibri" w:cs="Calibri"/>
              </w:rPr>
              <w:t>.</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6735254E" w:rsidR="00C66EE0" w:rsidRPr="00610F28" w:rsidRDefault="006B535C" w:rsidP="00610F28">
            <w:pPr>
              <w:rPr>
                <w:rFonts w:ascii="Calibri" w:hAnsi="Calibri" w:cs="Calibri"/>
              </w:rPr>
            </w:pPr>
            <w:r>
              <w:rPr>
                <w:rFonts w:ascii="Calibri" w:hAnsi="Calibri" w:cs="Calibri"/>
              </w:rPr>
              <w:t>X</w:t>
            </w: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4538A929"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29BE6B14"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358E74C4" w:rsidR="00C66EE0" w:rsidRPr="00610F28" w:rsidRDefault="00C66EE0" w:rsidP="00610F28">
            <w:pPr>
              <w:rPr>
                <w:rFonts w:ascii="Calibri" w:hAnsi="Calibri" w:cs="Calibri"/>
              </w:rPr>
            </w:pPr>
          </w:p>
        </w:tc>
        <w:tc>
          <w:tcPr>
            <w:tcW w:w="1740" w:type="dxa"/>
            <w:vAlign w:val="center"/>
          </w:tcPr>
          <w:p w14:paraId="6107AB24" w14:textId="35226057" w:rsidR="00C66EE0" w:rsidRPr="00610F28" w:rsidRDefault="00906DAF" w:rsidP="00610F28">
            <w:pPr>
              <w:rPr>
                <w:rFonts w:ascii="Calibri" w:hAnsi="Calibri" w:cs="Calibri"/>
              </w:rPr>
            </w:pPr>
            <w:r>
              <w:rPr>
                <w:rFonts w:ascii="Calibri" w:hAnsi="Calibri" w:cs="Calibri"/>
              </w:rPr>
              <w:t>X</w:t>
            </w: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82B30C4"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2BFAC225"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4DF6D17E" w:rsidR="00C66EE0" w:rsidRPr="00610F28" w:rsidRDefault="003169E2"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F52A2C0" w:rsidR="00C66EE0" w:rsidRPr="00610F28" w:rsidRDefault="00C66EE0" w:rsidP="00610F28">
            <w:pPr>
              <w:rPr>
                <w:rFonts w:ascii="Calibri" w:hAnsi="Calibri" w:cs="Calibri"/>
              </w:rPr>
            </w:pPr>
          </w:p>
        </w:tc>
        <w:tc>
          <w:tcPr>
            <w:tcW w:w="1740" w:type="dxa"/>
            <w:vAlign w:val="center"/>
          </w:tcPr>
          <w:p w14:paraId="1CFD4FEE" w14:textId="7FD1FAC6" w:rsidR="00C66EE0" w:rsidRPr="00610F28" w:rsidRDefault="00906DAF" w:rsidP="00610F28">
            <w:pPr>
              <w:rPr>
                <w:rFonts w:ascii="Calibri" w:hAnsi="Calibri" w:cs="Calibri"/>
              </w:rPr>
            </w:pPr>
            <w:r>
              <w:rPr>
                <w:rFonts w:ascii="Calibri" w:hAnsi="Calibri" w:cs="Calibri"/>
              </w:rPr>
              <w:t>X</w:t>
            </w: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B9DE887" w:rsidR="00C66EE0" w:rsidRPr="00610F28" w:rsidRDefault="003169E2"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43EE32B3"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241BC496" w:rsidR="00C66EE0" w:rsidRPr="00610F28" w:rsidRDefault="003169E2"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585173E0" w:rsidR="00C66EE0" w:rsidRPr="00610F28" w:rsidRDefault="003169E2"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7D739DB" w:rsidR="00C66EE0" w:rsidRPr="00610F28" w:rsidRDefault="003169E2"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26D36C77" w:rsidR="00C66EE0" w:rsidRPr="00610F28" w:rsidRDefault="003169E2"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0AAE3E3E" w:rsidR="00C66EE0" w:rsidRPr="00610F28" w:rsidRDefault="003169E2" w:rsidP="00610F28">
            <w:pPr>
              <w:rPr>
                <w:rFonts w:ascii="Calibri" w:hAnsi="Calibri" w:cs="Calibri"/>
              </w:rPr>
            </w:pPr>
            <w:r>
              <w:rPr>
                <w:rFonts w:ascii="Calibri" w:hAnsi="Calibri" w:cs="Calibri"/>
              </w:rPr>
              <w:t>X</w:t>
            </w:r>
          </w:p>
        </w:tc>
        <w:tc>
          <w:tcPr>
            <w:tcW w:w="1740" w:type="dxa"/>
            <w:vAlign w:val="center"/>
          </w:tcPr>
          <w:p w14:paraId="739A8F80" w14:textId="2459235C"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3EC9A4B2" w:rsidR="00C66EE0" w:rsidRPr="00610F28" w:rsidRDefault="00123C15"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58C0291D" w:rsidR="00C66EE0" w:rsidRPr="00610F28" w:rsidRDefault="00123C15"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5EF61F51" w:rsidR="00C66EE0" w:rsidRPr="00610F28" w:rsidRDefault="00123C15"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231C41D7" w:rsidR="00C66EE0" w:rsidRPr="00610F28" w:rsidRDefault="00123C15"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0E169FAA" w:rsidR="00C66EE0" w:rsidRPr="00610F28" w:rsidRDefault="00123C15" w:rsidP="00610F28">
            <w:pPr>
              <w:rPr>
                <w:rFonts w:ascii="Calibri" w:hAnsi="Calibri" w:cs="Calibri"/>
              </w:rPr>
            </w:pPr>
            <w:r>
              <w:rPr>
                <w:rFonts w:ascii="Calibri" w:hAnsi="Calibri" w:cs="Calibri"/>
              </w:rPr>
              <w:t>X</w:t>
            </w: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14F7E5F9" w:rsidR="00C66EE0" w:rsidRPr="00610F28" w:rsidRDefault="00123C15"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053E3131" w:rsidR="00C66EE0" w:rsidRPr="00610F28" w:rsidRDefault="00123C15"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AA0AD01" w14:textId="77777777" w:rsidR="00BB5F26" w:rsidRDefault="00BB5F26" w:rsidP="00610F28">
            <w:pPr>
              <w:rPr>
                <w:rFonts w:ascii="Calibri" w:hAnsi="Calibri" w:cs="Calibri"/>
              </w:rPr>
            </w:pPr>
            <w:r w:rsidRPr="00BB5F26">
              <w:rPr>
                <w:rFonts w:ascii="Calibri" w:hAnsi="Calibri" w:cs="Calibri"/>
              </w:rPr>
              <w:t xml:space="preserve">Under Directive RED II, the only entities with binding duties are Member States. All other targeted entities </w:t>
            </w:r>
            <w:r>
              <w:rPr>
                <w:rFonts w:ascii="Calibri" w:hAnsi="Calibri" w:cs="Calibri"/>
              </w:rPr>
              <w:t xml:space="preserve">– </w:t>
            </w:r>
            <w:r w:rsidRPr="00BB5F26">
              <w:rPr>
                <w:rFonts w:ascii="Calibri" w:hAnsi="Calibri" w:cs="Calibri"/>
              </w:rPr>
              <w:t xml:space="preserve">whether public or private, sectoral or cross-sectoral </w:t>
            </w:r>
            <w:r>
              <w:rPr>
                <w:rFonts w:ascii="Calibri" w:hAnsi="Calibri" w:cs="Calibri"/>
              </w:rPr>
              <w:t xml:space="preserve">– </w:t>
            </w:r>
            <w:r w:rsidRPr="00BB5F26">
              <w:rPr>
                <w:rFonts w:ascii="Calibri" w:hAnsi="Calibri" w:cs="Calibri"/>
              </w:rPr>
              <w:t xml:space="preserve">are voluntarily addressed. </w:t>
            </w:r>
          </w:p>
          <w:p w14:paraId="5D90B9C5" w14:textId="159209E1" w:rsidR="00C66EE0" w:rsidRPr="00610F28" w:rsidRDefault="00BB5F26" w:rsidP="00610F28">
            <w:pPr>
              <w:rPr>
                <w:rFonts w:ascii="Calibri" w:hAnsi="Calibri" w:cs="Calibri"/>
              </w:rPr>
            </w:pPr>
            <w:r w:rsidRPr="00BB5F26">
              <w:rPr>
                <w:rFonts w:ascii="Calibri" w:hAnsi="Calibri" w:cs="Calibri"/>
              </w:rPr>
              <w:t xml:space="preserve">However, duties may vary indirectly across those entities, depending on how Member States choose to implement the </w:t>
            </w:r>
            <w:r>
              <w:rPr>
                <w:rFonts w:ascii="Calibri" w:hAnsi="Calibri" w:cs="Calibri"/>
              </w:rPr>
              <w:t>D</w:t>
            </w:r>
            <w:r w:rsidRPr="00BB5F26">
              <w:rPr>
                <w:rFonts w:ascii="Calibri" w:hAnsi="Calibri" w:cs="Calibri"/>
              </w:rPr>
              <w:t xml:space="preserve">irective. </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08CD179C" w:rsidR="00C66EE0" w:rsidRPr="00610F28" w:rsidRDefault="00FE41F1" w:rsidP="00610F28">
            <w:pPr>
              <w:rPr>
                <w:rFonts w:ascii="Calibri" w:hAnsi="Calibri" w:cs="Calibri"/>
              </w:rPr>
            </w:pPr>
            <w:r>
              <w:rPr>
                <w:rFonts w:ascii="Calibri" w:hAnsi="Calibri" w:cs="Calibri"/>
              </w:rPr>
              <w:t>T</w:t>
            </w:r>
            <w:r w:rsidRPr="00FE41F1">
              <w:rPr>
                <w:rFonts w:ascii="Calibri" w:hAnsi="Calibri" w:cs="Calibri"/>
              </w:rPr>
              <w:t>he only operative threshold in RED II is whether the entity is a Member State of the EU</w:t>
            </w:r>
            <w:r>
              <w:rPr>
                <w:rFonts w:ascii="Calibri" w:hAnsi="Calibri" w:cs="Calibri"/>
              </w:rPr>
              <w:t>,</w:t>
            </w:r>
            <w:r w:rsidRPr="00FE41F1">
              <w:rPr>
                <w:rFonts w:ascii="Calibri" w:hAnsi="Calibri" w:cs="Calibri"/>
              </w:rPr>
              <w:t xml:space="preserve"> in which case, compliance is mandatory</w:t>
            </w:r>
            <w:r>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121D4DA9" w:rsidR="00C66EE0" w:rsidRPr="00610F28" w:rsidRDefault="001410FB"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4ECEBE7F" w:rsidR="00C66EE0" w:rsidRPr="00610F28" w:rsidRDefault="001410FB"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F838313" w14:textId="77777777" w:rsidR="00D74543" w:rsidRDefault="00D74543" w:rsidP="00610F28">
            <w:pPr>
              <w:rPr>
                <w:rFonts w:ascii="Calibri" w:hAnsi="Calibri" w:cs="Calibri"/>
              </w:rPr>
            </w:pPr>
            <w:r w:rsidRPr="00D74543">
              <w:rPr>
                <w:rFonts w:ascii="Calibri" w:hAnsi="Calibri" w:cs="Calibri"/>
              </w:rPr>
              <w:t>Because RED II is a binding directive, Member States must implement it through national laws, which may establish additional sanctions for national-level non-compliance (e.g. penalties for suppliers, fuel distributors, or grid operators under national law). But those would stem from domestic law, not the Directive itself.</w:t>
            </w:r>
          </w:p>
          <w:p w14:paraId="415B2087" w14:textId="43BF347F" w:rsidR="00B9747B" w:rsidRPr="00610F28" w:rsidRDefault="00B9747B" w:rsidP="00610F28">
            <w:pPr>
              <w:rPr>
                <w:rFonts w:ascii="Calibri" w:hAnsi="Calibri" w:cs="Calibri"/>
              </w:rPr>
            </w:pPr>
            <w:r w:rsidRPr="00B9747B">
              <w:rPr>
                <w:rFonts w:ascii="Calibri" w:hAnsi="Calibri" w:cs="Calibri"/>
              </w:rPr>
              <w:t xml:space="preserve">At the same time, failure to fulfil obligations under the Directive </w:t>
            </w:r>
            <w:r w:rsidR="00921520">
              <w:rPr>
                <w:rFonts w:ascii="Calibri" w:hAnsi="Calibri" w:cs="Calibri"/>
              </w:rPr>
              <w:t xml:space="preserve">– </w:t>
            </w:r>
            <w:r w:rsidRPr="00B9747B">
              <w:rPr>
                <w:rFonts w:ascii="Calibri" w:hAnsi="Calibri" w:cs="Calibri"/>
              </w:rPr>
              <w:t xml:space="preserve">such as setting national contributions, reporting progress, or meeting renewable energy targets </w:t>
            </w:r>
            <w:r w:rsidR="00921520">
              <w:rPr>
                <w:rFonts w:ascii="Calibri" w:hAnsi="Calibri" w:cs="Calibri"/>
              </w:rPr>
              <w:t xml:space="preserve">– </w:t>
            </w:r>
            <w:r w:rsidRPr="00B9747B">
              <w:rPr>
                <w:rFonts w:ascii="Calibri" w:hAnsi="Calibri" w:cs="Calibri"/>
              </w:rPr>
              <w:t xml:space="preserve">may lead to infringement proceedings under Article 258 </w:t>
            </w:r>
            <w:r w:rsidR="00921520" w:rsidRPr="00921520">
              <w:rPr>
                <w:rFonts w:ascii="Calibri" w:hAnsi="Calibri" w:cs="Calibri"/>
              </w:rPr>
              <w:t>Treaty on the Functioning of the European Union</w:t>
            </w:r>
            <w:r w:rsidR="00921520" w:rsidRPr="00921520">
              <w:rPr>
                <w:rFonts w:ascii="Calibri" w:hAnsi="Calibri" w:cs="Calibri"/>
              </w:rPr>
              <w:t xml:space="preserve"> </w:t>
            </w:r>
            <w:r w:rsidR="00921520">
              <w:rPr>
                <w:rFonts w:ascii="Calibri" w:hAnsi="Calibri" w:cs="Calibri"/>
              </w:rPr>
              <w:t>(</w:t>
            </w:r>
            <w:r w:rsidRPr="00B9747B">
              <w:rPr>
                <w:rFonts w:ascii="Calibri" w:hAnsi="Calibri" w:cs="Calibri"/>
              </w:rPr>
              <w:t>TFEU</w:t>
            </w:r>
            <w:r w:rsidR="00921520">
              <w:rPr>
                <w:rFonts w:ascii="Calibri" w:hAnsi="Calibri" w:cs="Calibri"/>
              </w:rPr>
              <w:t>)</w:t>
            </w:r>
            <w:r w:rsidRPr="00B9747B">
              <w:rPr>
                <w:rFonts w:ascii="Calibri" w:hAnsi="Calibri" w:cs="Calibri"/>
              </w:rPr>
              <w:t>, initiated by the European Commission. These proceedings can result in a referral to the Court of Justice of the EU and, ultimately, in the imposition of financial penalties under Article 260 TFEU.</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66B66C57" w:rsidR="00C66EE0" w:rsidRPr="00610F28" w:rsidRDefault="00754CFE"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201AF1E" w14:textId="77777777" w:rsidR="00C66EE0" w:rsidRDefault="00F51B01" w:rsidP="00610F28">
            <w:pPr>
              <w:rPr>
                <w:rFonts w:ascii="Calibri" w:hAnsi="Calibri" w:cs="Calibri"/>
              </w:rPr>
            </w:pPr>
            <w:r w:rsidRPr="00F51B01">
              <w:rPr>
                <w:rFonts w:ascii="Calibri" w:hAnsi="Calibri" w:cs="Calibri"/>
              </w:rPr>
              <w:t>Established by Commission Implementing Regulation (EU) 2020/1294, the REFM</w:t>
            </w:r>
            <w:r>
              <w:rPr>
                <w:rFonts w:ascii="Calibri" w:hAnsi="Calibri" w:cs="Calibri"/>
              </w:rPr>
              <w:t xml:space="preserve"> (</w:t>
            </w:r>
            <w:r w:rsidR="00413364" w:rsidRPr="00413364">
              <w:rPr>
                <w:rFonts w:ascii="Calibri" w:hAnsi="Calibri" w:cs="Calibri"/>
              </w:rPr>
              <w:t>Renewable Energy Financing Mechanism</w:t>
            </w:r>
            <w:r>
              <w:rPr>
                <w:rFonts w:ascii="Calibri" w:hAnsi="Calibri" w:cs="Calibri"/>
              </w:rPr>
              <w:t>)</w:t>
            </w:r>
            <w:r w:rsidRPr="00F51B01">
              <w:rPr>
                <w:rFonts w:ascii="Calibri" w:hAnsi="Calibri" w:cs="Calibri"/>
              </w:rPr>
              <w:t xml:space="preserve"> is explicitly designed to operationalize RED II’s cooperation tools (e.g. Articles 8–13), enabling voluntary financial contributions from Member States</w:t>
            </w:r>
            <w:r w:rsidR="00236E4E">
              <w:rPr>
                <w:rFonts w:ascii="Calibri" w:hAnsi="Calibri" w:cs="Calibri"/>
              </w:rPr>
              <w:t>.</w:t>
            </w:r>
          </w:p>
          <w:p w14:paraId="132CC192" w14:textId="2D23AB75" w:rsidR="00996057" w:rsidRPr="00610F28" w:rsidRDefault="00236E4E" w:rsidP="00610F28">
            <w:pPr>
              <w:rPr>
                <w:rFonts w:ascii="Calibri" w:hAnsi="Calibri" w:cs="Calibri"/>
              </w:rPr>
            </w:pPr>
            <w:r>
              <w:rPr>
                <w:rFonts w:ascii="Calibri" w:hAnsi="Calibri" w:cs="Calibri"/>
              </w:rPr>
              <w:t xml:space="preserve">Available at: </w:t>
            </w:r>
            <w:hyperlink r:id="rId18" w:history="1">
              <w:r w:rsidR="002B5057" w:rsidRPr="00631AE1">
                <w:rPr>
                  <w:rStyle w:val="Hyperlink"/>
                  <w:rFonts w:ascii="Calibri" w:hAnsi="Calibri" w:cs="Calibri"/>
                </w:rPr>
                <w:t>https://web.archive.org/web/20250710110802/https://eur-lex.europa.eu/eli/reg_impl/2020/1294/oj/eng</w:t>
              </w:r>
            </w:hyperlink>
            <w:r w:rsidR="002B5057">
              <w:rPr>
                <w:rFonts w:ascii="Calibri" w:hAnsi="Calibri" w:cs="Calibri"/>
              </w:rPr>
              <w:t xml:space="preserve"> </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3348D1A0" w:rsidR="00C66EE0" w:rsidRPr="00610F28" w:rsidRDefault="007E68C6"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F45E13E" w14:textId="77777777" w:rsidR="00C66EE0" w:rsidRDefault="007E68C6" w:rsidP="00610F28">
            <w:pPr>
              <w:rPr>
                <w:rFonts w:ascii="Calibri" w:hAnsi="Calibri" w:cs="Calibri"/>
              </w:rPr>
            </w:pPr>
            <w:r w:rsidRPr="007E68C6">
              <w:rPr>
                <w:rFonts w:ascii="Calibri" w:hAnsi="Calibri" w:cs="Calibri"/>
              </w:rPr>
              <w:t>Although RED II does not itself impose sanctions, non-compliance by Member States has led to formal infringement proceedings under Article 258 TFEU, initiated by the European Commission.</w:t>
            </w:r>
          </w:p>
          <w:p w14:paraId="4C778B0E" w14:textId="4027DE7B" w:rsidR="007E68C6" w:rsidRPr="00987FC0" w:rsidRDefault="007E68C6" w:rsidP="00610F28">
            <w:pPr>
              <w:rPr>
                <w:rFonts w:ascii="Calibri" w:hAnsi="Calibri" w:cs="Calibri"/>
              </w:rPr>
            </w:pPr>
            <w:r w:rsidRPr="00987FC0">
              <w:rPr>
                <w:rFonts w:ascii="Calibri" w:hAnsi="Calibri" w:cs="Calibri"/>
              </w:rPr>
              <w:t>The European Commission launched formal infringement procedures against multiple Member States for failing to transpose RED II into national law by the deadline (30 June 2021).</w:t>
            </w:r>
          </w:p>
          <w:p w14:paraId="56021D77" w14:textId="77777777" w:rsidR="007E68C6" w:rsidRDefault="007E68C6" w:rsidP="007E68C6">
            <w:pPr>
              <w:rPr>
                <w:rFonts w:ascii="Calibri" w:hAnsi="Calibri" w:cs="Calibri"/>
              </w:rPr>
            </w:pPr>
            <w:r w:rsidRPr="00987FC0">
              <w:rPr>
                <w:rFonts w:ascii="Calibri" w:hAnsi="Calibri" w:cs="Calibri"/>
              </w:rPr>
              <w:t>As of July 2021, the Commission had issued letters of formal notice to</w:t>
            </w:r>
            <w:r w:rsidRPr="00987FC0">
              <w:rPr>
                <w:rFonts w:ascii="Calibri" w:hAnsi="Calibri" w:cs="Calibri"/>
              </w:rPr>
              <w:t xml:space="preserve"> </w:t>
            </w:r>
            <w:r w:rsidRPr="00987FC0">
              <w:rPr>
                <w:rFonts w:ascii="Calibri" w:hAnsi="Calibri" w:cs="Calibri"/>
              </w:rPr>
              <w:t>Austria, Belgium, Czech Republic, Estonia, Finland, France, Germany, Hungary, Ireland, Lithuania, Luxembourg, Poland, Portugal, Romania, Slovakia</w:t>
            </w:r>
            <w:r w:rsidRPr="00987FC0">
              <w:rPr>
                <w:rFonts w:ascii="Calibri" w:hAnsi="Calibri" w:cs="Calibri"/>
              </w:rPr>
              <w:t xml:space="preserve"> </w:t>
            </w:r>
            <w:r w:rsidRPr="00987FC0">
              <w:rPr>
                <w:rFonts w:ascii="Calibri" w:hAnsi="Calibri" w:cs="Calibri"/>
              </w:rPr>
              <w:t>and Spain.</w:t>
            </w:r>
          </w:p>
          <w:p w14:paraId="2B2D0494" w14:textId="3D7471DC" w:rsidR="007C43B6" w:rsidRPr="00610F28" w:rsidRDefault="007C43B6" w:rsidP="007E68C6">
            <w:pPr>
              <w:rPr>
                <w:rFonts w:ascii="Calibri" w:hAnsi="Calibri" w:cs="Calibri"/>
              </w:rPr>
            </w:pPr>
            <w:r>
              <w:rPr>
                <w:rFonts w:ascii="Calibri" w:hAnsi="Calibri" w:cs="Calibri"/>
              </w:rPr>
              <w:t xml:space="preserve">Available at: </w:t>
            </w:r>
            <w:hyperlink r:id="rId19" w:history="1">
              <w:r w:rsidRPr="00631AE1">
                <w:rPr>
                  <w:rStyle w:val="Hyperlink"/>
                  <w:rFonts w:ascii="Calibri" w:hAnsi="Calibri" w:cs="Calibri"/>
                </w:rPr>
                <w:t>https://web.archive.org/web/20250710132754/https://energy.ec.europa.eu/news/february-infringement-package-key-decisions-energy-2025-02-12_en</w:t>
              </w:r>
            </w:hyperlink>
            <w:r>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2116ED79" w:rsidR="00C66EE0" w:rsidRPr="00610F28" w:rsidRDefault="00732D59"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30AD63" w14:textId="77777777" w:rsidR="00C66EE0" w:rsidRDefault="001E2833" w:rsidP="00610F28">
            <w:pPr>
              <w:rPr>
                <w:rFonts w:ascii="Calibri" w:hAnsi="Calibri" w:cs="Calibri"/>
              </w:rPr>
            </w:pPr>
            <w:r w:rsidRPr="001E2833">
              <w:rPr>
                <w:rFonts w:ascii="Calibri" w:hAnsi="Calibri" w:cs="Calibri"/>
              </w:rPr>
              <w:t>In March 2019, individuals and NGOs filed a challenge in the European General Court, seeking annulment of the Directive’s provisions that treat forest biomass as carbon</w:t>
            </w:r>
            <w:r w:rsidRPr="001E2833">
              <w:rPr>
                <w:rFonts w:ascii="Cambria Math" w:hAnsi="Cambria Math" w:cs="Cambria Math"/>
              </w:rPr>
              <w:t>‑</w:t>
            </w:r>
            <w:r w:rsidRPr="001E2833">
              <w:rPr>
                <w:rFonts w:ascii="Calibri" w:hAnsi="Calibri" w:cs="Calibri"/>
              </w:rPr>
              <w:t>neutral renewable energy</w:t>
            </w:r>
            <w:r w:rsidR="00894CA1">
              <w:rPr>
                <w:rFonts w:ascii="Calibri" w:hAnsi="Calibri" w:cs="Calibri"/>
              </w:rPr>
              <w:t>.</w:t>
            </w:r>
          </w:p>
          <w:p w14:paraId="2120D8E5" w14:textId="77777777" w:rsidR="00894CA1" w:rsidRDefault="00894CA1" w:rsidP="00610F28">
            <w:pPr>
              <w:rPr>
                <w:rFonts w:ascii="Calibri" w:hAnsi="Calibri" w:cs="Calibri"/>
              </w:rPr>
            </w:pPr>
            <w:r w:rsidRPr="00894CA1">
              <w:rPr>
                <w:rFonts w:ascii="Calibri" w:hAnsi="Calibri" w:cs="Calibri"/>
              </w:rPr>
              <w:t>The case was dismissed in May 2020 for lack of standing, and that dismissal was upheld by the Court of Justice in January 2021</w:t>
            </w:r>
            <w:r>
              <w:rPr>
                <w:rFonts w:ascii="Calibri" w:hAnsi="Calibri" w:cs="Calibri"/>
              </w:rPr>
              <w:t>.</w:t>
            </w:r>
          </w:p>
          <w:p w14:paraId="434C01FD" w14:textId="418B2771" w:rsidR="00894CA1" w:rsidRPr="00610F28" w:rsidRDefault="00894CA1" w:rsidP="00610F28">
            <w:pPr>
              <w:rPr>
                <w:rFonts w:ascii="Calibri" w:hAnsi="Calibri" w:cs="Calibri"/>
              </w:rPr>
            </w:pPr>
            <w:r>
              <w:rPr>
                <w:rFonts w:ascii="Calibri" w:hAnsi="Calibri" w:cs="Calibri"/>
              </w:rPr>
              <w:t xml:space="preserve">Available at: </w:t>
            </w:r>
            <w:hyperlink r:id="rId20" w:history="1">
              <w:r w:rsidR="00244E60" w:rsidRPr="00631AE1">
                <w:rPr>
                  <w:rStyle w:val="Hyperlink"/>
                  <w:rFonts w:ascii="Calibri" w:hAnsi="Calibri" w:cs="Calibri"/>
                </w:rPr>
                <w:t>https://web.archive.org/web/20250710143120/https://climatecasechart.com/non-us-case/eu-biomass-plaintiffs-v-european-union/?utm</w:t>
              </w:r>
            </w:hyperlink>
            <w:r w:rsidR="00244E60">
              <w:rPr>
                <w:rFonts w:ascii="Calibri" w:hAnsi="Calibri" w:cs="Calibri"/>
              </w:rPr>
              <w:t xml:space="preserve">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503C6A03" w:rsidR="00DF50B5" w:rsidRPr="00610F28" w:rsidRDefault="00F016D9"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lastRenderedPageBreak/>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5182723B" w14:textId="77777777" w:rsidR="00DF50B5" w:rsidRDefault="00D919A5" w:rsidP="00610F28">
            <w:pPr>
              <w:rPr>
                <w:rFonts w:ascii="Calibri" w:hAnsi="Calibri" w:cs="Calibri"/>
              </w:rPr>
            </w:pPr>
            <w:r w:rsidRPr="00D919A5">
              <w:rPr>
                <w:rFonts w:ascii="Calibri" w:hAnsi="Calibri" w:cs="Calibri"/>
              </w:rPr>
              <w:t xml:space="preserve">RED II does not require the alignment of public procurement spending with national and/or subnational climate targets. However, it allows and recommends </w:t>
            </w:r>
            <w:r w:rsidR="00E11349" w:rsidRPr="00E11349">
              <w:rPr>
                <w:rFonts w:ascii="Calibri" w:hAnsi="Calibri" w:cs="Calibri"/>
              </w:rPr>
              <w:t>Member States to implement support schemes, cooperation mechanisms and frameworks that could include public procurement measures</w:t>
            </w:r>
            <w:r w:rsidR="001B0A42">
              <w:rPr>
                <w:rFonts w:ascii="Calibri" w:hAnsi="Calibri" w:cs="Calibri"/>
              </w:rPr>
              <w:t>:</w:t>
            </w:r>
          </w:p>
          <w:p w14:paraId="0C920B15" w14:textId="7608468C" w:rsidR="001B0A42" w:rsidRDefault="001B0A42" w:rsidP="00610F28">
            <w:pPr>
              <w:rPr>
                <w:rFonts w:ascii="Calibri" w:hAnsi="Calibri" w:cs="Calibri"/>
              </w:rPr>
            </w:pPr>
            <w:r>
              <w:rPr>
                <w:rFonts w:ascii="Calibri" w:hAnsi="Calibri" w:cs="Calibri"/>
              </w:rPr>
              <w:t>- Article 3(4a)</w:t>
            </w:r>
            <w:r w:rsidR="00BF47F9">
              <w:rPr>
                <w:rFonts w:ascii="Calibri" w:hAnsi="Calibri" w:cs="Calibri"/>
              </w:rPr>
              <w:t xml:space="preserve"> </w:t>
            </w:r>
            <w:r w:rsidR="001F3420">
              <w:rPr>
                <w:rFonts w:ascii="Calibri" w:hAnsi="Calibri" w:cs="Calibri"/>
              </w:rPr>
              <w:t>provides</w:t>
            </w:r>
            <w:r w:rsidR="00BF47F9">
              <w:rPr>
                <w:rFonts w:ascii="Calibri" w:hAnsi="Calibri" w:cs="Calibri"/>
              </w:rPr>
              <w:t xml:space="preserve"> that </w:t>
            </w:r>
            <w:r w:rsidR="00BF47F9" w:rsidRPr="00BF47F9">
              <w:rPr>
                <w:rFonts w:ascii="Calibri" w:hAnsi="Calibri" w:cs="Calibri"/>
              </w:rPr>
              <w:t>Member States are expected to set up a framework, possibly involving support measures, that encourages the use of renewable power purchase agreements and enables the roll-out of renewable electricity in line with their national targets and planning paths.</w:t>
            </w:r>
          </w:p>
          <w:p w14:paraId="04345F77" w14:textId="4A0B274A" w:rsidR="001B0A42" w:rsidRPr="00610F28" w:rsidRDefault="001B0A42" w:rsidP="00610F28">
            <w:pPr>
              <w:rPr>
                <w:rFonts w:ascii="Calibri" w:hAnsi="Calibri" w:cs="Calibri"/>
              </w:rPr>
            </w:pPr>
            <w:r>
              <w:rPr>
                <w:rFonts w:ascii="Calibri" w:hAnsi="Calibri" w:cs="Calibri"/>
              </w:rPr>
              <w:t>- Article 5(1)</w:t>
            </w:r>
            <w:r w:rsidR="007942F2">
              <w:rPr>
                <w:rFonts w:ascii="Calibri" w:hAnsi="Calibri" w:cs="Calibri"/>
              </w:rPr>
              <w:t xml:space="preserve"> </w:t>
            </w:r>
            <w:r w:rsidR="00416B4F">
              <w:rPr>
                <w:rFonts w:ascii="Calibri" w:hAnsi="Calibri" w:cs="Calibri"/>
              </w:rPr>
              <w:t>clarifies</w:t>
            </w:r>
            <w:r w:rsidR="007942F2">
              <w:rPr>
                <w:rFonts w:ascii="Calibri" w:hAnsi="Calibri" w:cs="Calibri"/>
              </w:rPr>
              <w:t xml:space="preserve"> that </w:t>
            </w:r>
            <w:r w:rsidR="007942F2" w:rsidRPr="007942F2">
              <w:rPr>
                <w:rFonts w:ascii="Calibri" w:hAnsi="Calibri" w:cs="Calibri"/>
              </w:rPr>
              <w:t>Member States are free to determine whether and to what extent they support renewable electricity produced in other Member States</w:t>
            </w:r>
            <w:r w:rsidR="00416B4F">
              <w:rPr>
                <w:rFonts w:ascii="Calibri" w:hAnsi="Calibri" w:cs="Calibri"/>
              </w:rPr>
              <w:t>. They also</w:t>
            </w:r>
            <w:r w:rsidR="007942F2" w:rsidRPr="007942F2">
              <w:rPr>
                <w:rFonts w:ascii="Calibri" w:hAnsi="Calibri" w:cs="Calibri"/>
              </w:rPr>
              <w:t xml:space="preserve"> have the option to allow producers from other Member States to participate in their national support schemes.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341B44B" w:rsidR="00DF50B5" w:rsidRPr="00610F28" w:rsidRDefault="00950E77"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AAE4990" w:rsidR="00DF50B5" w:rsidRPr="00610F28" w:rsidRDefault="00950E77"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5B48C226" w:rsidR="00DF50B5" w:rsidRPr="00610F28" w:rsidRDefault="00950E77"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14D1C6A" w:rsidR="00DF50B5" w:rsidRPr="00610F28" w:rsidRDefault="00950E77"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647D949" w:rsidR="00DF50B5" w:rsidRPr="00610F28" w:rsidRDefault="00950E77"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1D67AA00" w:rsidR="00DF50B5" w:rsidRPr="00610F28" w:rsidRDefault="00950E77"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lastRenderedPageBreak/>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49329E5" w:rsidR="00DF50B5" w:rsidRPr="00610F28" w:rsidRDefault="00950E77"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23DD229" w:rsidR="00DF50B5" w:rsidRPr="00610F28" w:rsidRDefault="00032FCB"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58B44057" w:rsidR="00DF50B5" w:rsidRPr="00610F28" w:rsidRDefault="00032FCB"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16153475" w:rsidR="00DF50B5" w:rsidRPr="00610F28" w:rsidRDefault="00032FCB"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68A20BB" w:rsidR="00DF50B5" w:rsidRPr="00610F28" w:rsidRDefault="00032FCB"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3C167090" w:rsidR="00DF50B5" w:rsidRPr="00610F28" w:rsidRDefault="00032FCB"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3E91ADB" w:rsidR="00DF50B5" w:rsidRPr="00610F28" w:rsidRDefault="00032FCB"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0B81587" w:rsidR="00DF50B5" w:rsidRPr="00610F28" w:rsidRDefault="00032FCB"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498A5495"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866941F" w:rsidR="00A56BE5" w:rsidRPr="00971C0E" w:rsidRDefault="004159C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24D3B88" w:rsidR="00A56BE5" w:rsidRPr="00971C0E" w:rsidRDefault="004159C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17F1BB2F" w:rsidR="00A56BE5" w:rsidRPr="00971C0E" w:rsidRDefault="004159C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F8172BF"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541BF91B"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0A871F01"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CBD11BF"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65DE0D4"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C5EC8EA"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5B4EB503"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583259A" w:rsidR="008A4685" w:rsidRPr="00610F28" w:rsidRDefault="00E621A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57D304A" w:rsidR="008A4685" w:rsidRPr="00CF2E7C" w:rsidRDefault="00697FC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EB25242" w:rsidR="008A4685" w:rsidRPr="00CF2E7C" w:rsidRDefault="00697FC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A0AA3D7" w:rsidR="008A4685" w:rsidRPr="00CF2E7C" w:rsidRDefault="00697FC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53C3E4E" w:rsidR="008A4685" w:rsidRPr="00CF2E7C" w:rsidRDefault="00697FC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132F0FF4" w:rsidR="008A4685" w:rsidRPr="00CF2E7C" w:rsidRDefault="00697FCE"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7F3F827"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5839C3B"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50D2F6B"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5E0E741"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01451C0"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69101E0"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4401C105"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256C412"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5ACA58E"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B580935" w:rsidR="008A4685" w:rsidRPr="00CF2E7C" w:rsidRDefault="009846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FDC1862"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9A04065"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3D31F89"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456D9121"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76567F9"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28526BCA"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CFDDDED"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237BA1F"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1EEBF5D4"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5D429331"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E159C16"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E11D74C"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0D7D809D" w:rsidR="008A4685" w:rsidRPr="00CF2E7C" w:rsidRDefault="00170CD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CC88107" w:rsidR="009A5C4E" w:rsidRPr="0074258C" w:rsidRDefault="00921DFD"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4C3E8E5" w:rsidR="009A5C4E" w:rsidRPr="0074258C" w:rsidRDefault="00921DFD"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136F1818" w:rsidR="007802C6" w:rsidRPr="00CF2E7C" w:rsidRDefault="009F0B08"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27FC05C5" w:rsidR="007802C6" w:rsidRPr="00CF2E7C" w:rsidRDefault="009F0B08"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A762120" w:rsidR="007802C6" w:rsidRPr="00CF2E7C" w:rsidRDefault="009F0B0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0E171D5" w:rsidR="007802C6" w:rsidRPr="00CF2E7C" w:rsidRDefault="009F0B0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3D8F4D6" w:rsidR="007802C6" w:rsidRPr="00CF2E7C" w:rsidRDefault="009F0B0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5358459" w:rsidR="007802C6" w:rsidRPr="00CF2E7C" w:rsidRDefault="009F0B08"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7122EC32" w:rsidR="007802C6" w:rsidRPr="00CF2E7C" w:rsidRDefault="009F0B0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3CC3E43" w:rsidR="007802C6" w:rsidRPr="00CF2E7C" w:rsidRDefault="009F0B0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D7D732C" w:rsidR="007802C6" w:rsidRPr="00CF2E7C" w:rsidRDefault="009F0B0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0B828DD" w:rsidR="007802C6" w:rsidRPr="00CF2E7C" w:rsidRDefault="009F0B0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6C43D6D4" w:rsidR="007802C6" w:rsidRPr="00CF2E7C" w:rsidRDefault="007802C6" w:rsidP="00CF2E7C">
            <w:pPr>
              <w:rPr>
                <w:rFonts w:ascii="Calibri" w:hAnsi="Calibri" w:cs="Calibri"/>
              </w:rPr>
            </w:pPr>
          </w:p>
        </w:tc>
        <w:tc>
          <w:tcPr>
            <w:tcW w:w="1716" w:type="dxa"/>
            <w:vAlign w:val="center"/>
          </w:tcPr>
          <w:p w14:paraId="16AFBE54" w14:textId="01957489" w:rsidR="007802C6" w:rsidRPr="00CF2E7C" w:rsidRDefault="009F0B0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C3A656A" w:rsidR="007802C6" w:rsidRPr="00CF2E7C" w:rsidRDefault="002A0150"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37515705" w:rsidR="007802C6" w:rsidRPr="00CF2E7C" w:rsidRDefault="002A0150"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684330B" w:rsidR="007802C6" w:rsidRPr="00CF2E7C" w:rsidRDefault="002A0150"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8A71572" w:rsidR="007802C6" w:rsidRPr="00CF2E7C" w:rsidRDefault="002A0150"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CEE9833" w:rsidR="007802C6" w:rsidRPr="00CF2E7C" w:rsidRDefault="002A0150"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8519195" w:rsidR="007802C6" w:rsidRPr="00CF2E7C" w:rsidRDefault="002A0150"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C4AA552" w:rsidR="007802C6" w:rsidRPr="00CF2E7C" w:rsidRDefault="002A0150"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6B50A5E" w:rsidR="007802C6" w:rsidRPr="00CF2E7C" w:rsidRDefault="002A0150"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A5B67E1" w:rsidR="007802C6" w:rsidRPr="00CF2E7C" w:rsidRDefault="002A0150"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5FACF143" w:rsidR="007802C6" w:rsidRPr="00CF2E7C" w:rsidRDefault="002A0150"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08B07EF8" w:rsidR="007802C6" w:rsidRPr="00CF2E7C" w:rsidRDefault="002A0150"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0A23F51F" w:rsidR="00386CB5" w:rsidRPr="00CF2E7C" w:rsidRDefault="002416DF" w:rsidP="00CF2E7C">
            <w:pPr>
              <w:rPr>
                <w:rFonts w:ascii="Calibri" w:hAnsi="Calibri" w:cs="Calibri"/>
              </w:rPr>
            </w:pPr>
            <w:r>
              <w:rPr>
                <w:rFonts w:ascii="Calibri" w:hAnsi="Calibri" w:cs="Calibri"/>
              </w:rPr>
              <w:t xml:space="preserve"> </w:t>
            </w:r>
            <w:r w:rsidR="00854735">
              <w:rPr>
                <w:rFonts w:ascii="Calibri" w:hAnsi="Calibri" w:cs="Calibri"/>
              </w:rPr>
              <w:t xml:space="preserve">Article 7(4)(b)) </w:t>
            </w:r>
            <w:r w:rsidR="003628AF" w:rsidRPr="003628AF">
              <w:rPr>
                <w:rFonts w:ascii="Calibri" w:hAnsi="Calibri" w:cs="Calibri"/>
              </w:rPr>
              <w:t>establishes that, where the energy content of transport fuels is not provided in Annex III, Member States must use the relevant standards of the European Standards Organisation (ESO)</w:t>
            </w:r>
            <w:r w:rsidR="000B75B5">
              <w:rPr>
                <w:rFonts w:ascii="Calibri" w:hAnsi="Calibri" w:cs="Calibri"/>
              </w:rPr>
              <w:t>. If</w:t>
            </w:r>
            <w:r w:rsidR="003628AF" w:rsidRPr="003628AF">
              <w:rPr>
                <w:rFonts w:ascii="Calibri" w:hAnsi="Calibri" w:cs="Calibri"/>
              </w:rPr>
              <w:t xml:space="preserve"> no ESO standard is available</w:t>
            </w:r>
            <w:r w:rsidR="000B75B5">
              <w:rPr>
                <w:rFonts w:ascii="Calibri" w:hAnsi="Calibri" w:cs="Calibri"/>
              </w:rPr>
              <w:t xml:space="preserve">, </w:t>
            </w:r>
            <w:r w:rsidR="003628AF" w:rsidRPr="003628AF">
              <w:rPr>
                <w:rFonts w:ascii="Calibri" w:hAnsi="Calibri" w:cs="Calibri"/>
              </w:rPr>
              <w:t>the relevant ISO standards must be applied.</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17B322E8"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F9CA73" w14:textId="77777777" w:rsidR="00321197" w:rsidRDefault="00321197" w:rsidP="00874E39">
      <w:r>
        <w:separator/>
      </w:r>
    </w:p>
  </w:endnote>
  <w:endnote w:type="continuationSeparator" w:id="0">
    <w:p w14:paraId="3701CAA0" w14:textId="77777777" w:rsidR="00321197" w:rsidRDefault="00321197" w:rsidP="00874E39">
      <w:r>
        <w:continuationSeparator/>
      </w:r>
    </w:p>
  </w:endnote>
  <w:endnote w:type="continuationNotice" w:id="1">
    <w:p w14:paraId="25ECE7BC" w14:textId="77777777" w:rsidR="00321197" w:rsidRDefault="003211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7508DB" w14:textId="77777777" w:rsidR="00321197" w:rsidRDefault="00321197" w:rsidP="00874E39">
      <w:r>
        <w:separator/>
      </w:r>
    </w:p>
  </w:footnote>
  <w:footnote w:type="continuationSeparator" w:id="0">
    <w:p w14:paraId="538DD384" w14:textId="77777777" w:rsidR="00321197" w:rsidRDefault="00321197" w:rsidP="00874E39">
      <w:r>
        <w:continuationSeparator/>
      </w:r>
    </w:p>
  </w:footnote>
  <w:footnote w:type="continuationNotice" w:id="1">
    <w:p w14:paraId="0C0A2E88" w14:textId="77777777" w:rsidR="00321197" w:rsidRDefault="003211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FC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7A7"/>
    <w:rsid w:val="00093CA9"/>
    <w:rsid w:val="000948C7"/>
    <w:rsid w:val="00096371"/>
    <w:rsid w:val="000966D3"/>
    <w:rsid w:val="000A0D34"/>
    <w:rsid w:val="000A1365"/>
    <w:rsid w:val="000A1490"/>
    <w:rsid w:val="000A1828"/>
    <w:rsid w:val="000A1917"/>
    <w:rsid w:val="000A1C25"/>
    <w:rsid w:val="000A3C19"/>
    <w:rsid w:val="000A437A"/>
    <w:rsid w:val="000A50AD"/>
    <w:rsid w:val="000A59F1"/>
    <w:rsid w:val="000A6B31"/>
    <w:rsid w:val="000A6F11"/>
    <w:rsid w:val="000A7C9B"/>
    <w:rsid w:val="000B0734"/>
    <w:rsid w:val="000B15C7"/>
    <w:rsid w:val="000B1BF7"/>
    <w:rsid w:val="000B37B0"/>
    <w:rsid w:val="000B3F66"/>
    <w:rsid w:val="000B3F68"/>
    <w:rsid w:val="000B4374"/>
    <w:rsid w:val="000B719B"/>
    <w:rsid w:val="000B75B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E55"/>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C15"/>
    <w:rsid w:val="00123F5C"/>
    <w:rsid w:val="00124C48"/>
    <w:rsid w:val="00134550"/>
    <w:rsid w:val="00134681"/>
    <w:rsid w:val="00136F5B"/>
    <w:rsid w:val="00137257"/>
    <w:rsid w:val="00137BB2"/>
    <w:rsid w:val="00140A55"/>
    <w:rsid w:val="00140BD0"/>
    <w:rsid w:val="001410FB"/>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CD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B3F"/>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A42"/>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33"/>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420"/>
    <w:rsid w:val="001F36B6"/>
    <w:rsid w:val="002008EE"/>
    <w:rsid w:val="00200E3F"/>
    <w:rsid w:val="002018F7"/>
    <w:rsid w:val="002020E8"/>
    <w:rsid w:val="00203B08"/>
    <w:rsid w:val="002040F6"/>
    <w:rsid w:val="0020495B"/>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4E"/>
    <w:rsid w:val="00236EF9"/>
    <w:rsid w:val="00237F89"/>
    <w:rsid w:val="002406C6"/>
    <w:rsid w:val="00240CE1"/>
    <w:rsid w:val="00241257"/>
    <w:rsid w:val="002416DF"/>
    <w:rsid w:val="00242839"/>
    <w:rsid w:val="00244207"/>
    <w:rsid w:val="00244E60"/>
    <w:rsid w:val="00245CC1"/>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150"/>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057"/>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07C"/>
    <w:rsid w:val="0031143A"/>
    <w:rsid w:val="00311F1B"/>
    <w:rsid w:val="00313275"/>
    <w:rsid w:val="00313E83"/>
    <w:rsid w:val="003169E2"/>
    <w:rsid w:val="003175A1"/>
    <w:rsid w:val="00321197"/>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8AF"/>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6CB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364"/>
    <w:rsid w:val="00413B91"/>
    <w:rsid w:val="0041424B"/>
    <w:rsid w:val="00414CFC"/>
    <w:rsid w:val="004159C8"/>
    <w:rsid w:val="00415C1C"/>
    <w:rsid w:val="00415F83"/>
    <w:rsid w:val="0041618A"/>
    <w:rsid w:val="00416554"/>
    <w:rsid w:val="00416B4F"/>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BAC"/>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87F"/>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28D"/>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ADA"/>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502"/>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172"/>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4F04"/>
    <w:rsid w:val="00685A4F"/>
    <w:rsid w:val="006878AC"/>
    <w:rsid w:val="00690B2A"/>
    <w:rsid w:val="0069343D"/>
    <w:rsid w:val="006936EF"/>
    <w:rsid w:val="006943E9"/>
    <w:rsid w:val="00694A4F"/>
    <w:rsid w:val="00695F64"/>
    <w:rsid w:val="00696548"/>
    <w:rsid w:val="00696D68"/>
    <w:rsid w:val="00697FCE"/>
    <w:rsid w:val="006A00E0"/>
    <w:rsid w:val="006A103A"/>
    <w:rsid w:val="006A2168"/>
    <w:rsid w:val="006A21C6"/>
    <w:rsid w:val="006A308E"/>
    <w:rsid w:val="006A3518"/>
    <w:rsid w:val="006A4C24"/>
    <w:rsid w:val="006A4C9F"/>
    <w:rsid w:val="006A63B5"/>
    <w:rsid w:val="006B07E5"/>
    <w:rsid w:val="006B0C0B"/>
    <w:rsid w:val="006B2C46"/>
    <w:rsid w:val="006B4FC8"/>
    <w:rsid w:val="006B535C"/>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AC1"/>
    <w:rsid w:val="007250B7"/>
    <w:rsid w:val="007274CB"/>
    <w:rsid w:val="0072785A"/>
    <w:rsid w:val="00730E27"/>
    <w:rsid w:val="007312A3"/>
    <w:rsid w:val="00732D3A"/>
    <w:rsid w:val="00732D59"/>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94A"/>
    <w:rsid w:val="00745E4B"/>
    <w:rsid w:val="00750A02"/>
    <w:rsid w:val="00752CD3"/>
    <w:rsid w:val="00753427"/>
    <w:rsid w:val="0075345B"/>
    <w:rsid w:val="0075419A"/>
    <w:rsid w:val="00754C24"/>
    <w:rsid w:val="00754CFE"/>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CB6"/>
    <w:rsid w:val="0078610D"/>
    <w:rsid w:val="007866CF"/>
    <w:rsid w:val="00786AC9"/>
    <w:rsid w:val="00786EC4"/>
    <w:rsid w:val="00791ED5"/>
    <w:rsid w:val="00792AC3"/>
    <w:rsid w:val="007936B2"/>
    <w:rsid w:val="007936C6"/>
    <w:rsid w:val="007939C4"/>
    <w:rsid w:val="007942F2"/>
    <w:rsid w:val="0079448B"/>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3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8C6"/>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735"/>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676"/>
    <w:rsid w:val="00887186"/>
    <w:rsid w:val="00887A64"/>
    <w:rsid w:val="00890032"/>
    <w:rsid w:val="0089120B"/>
    <w:rsid w:val="008915CB"/>
    <w:rsid w:val="00891DBD"/>
    <w:rsid w:val="0089355A"/>
    <w:rsid w:val="00894CA1"/>
    <w:rsid w:val="00896A1E"/>
    <w:rsid w:val="00897600"/>
    <w:rsid w:val="008A0461"/>
    <w:rsid w:val="008A093D"/>
    <w:rsid w:val="008A1DDE"/>
    <w:rsid w:val="008A207F"/>
    <w:rsid w:val="008A345E"/>
    <w:rsid w:val="008A4685"/>
    <w:rsid w:val="008A50AD"/>
    <w:rsid w:val="008B0F60"/>
    <w:rsid w:val="008B0F8A"/>
    <w:rsid w:val="008B2418"/>
    <w:rsid w:val="008B4536"/>
    <w:rsid w:val="008B5474"/>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DAF"/>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1520"/>
    <w:rsid w:val="00921DFD"/>
    <w:rsid w:val="00926863"/>
    <w:rsid w:val="00926D7F"/>
    <w:rsid w:val="0092783E"/>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873"/>
    <w:rsid w:val="00950AB0"/>
    <w:rsid w:val="00950B68"/>
    <w:rsid w:val="00950E77"/>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694"/>
    <w:rsid w:val="00984D24"/>
    <w:rsid w:val="00984DBA"/>
    <w:rsid w:val="0098621E"/>
    <w:rsid w:val="009868E2"/>
    <w:rsid w:val="00987FC0"/>
    <w:rsid w:val="00991124"/>
    <w:rsid w:val="009923B6"/>
    <w:rsid w:val="009926EF"/>
    <w:rsid w:val="00993609"/>
    <w:rsid w:val="00994653"/>
    <w:rsid w:val="00994C5F"/>
    <w:rsid w:val="00994E6E"/>
    <w:rsid w:val="00996057"/>
    <w:rsid w:val="00996526"/>
    <w:rsid w:val="009967D9"/>
    <w:rsid w:val="00996A43"/>
    <w:rsid w:val="00996EFE"/>
    <w:rsid w:val="009A0851"/>
    <w:rsid w:val="009A09BE"/>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B08"/>
    <w:rsid w:val="009F3542"/>
    <w:rsid w:val="009F56B4"/>
    <w:rsid w:val="009F5822"/>
    <w:rsid w:val="009F676A"/>
    <w:rsid w:val="009F7316"/>
    <w:rsid w:val="009F7F89"/>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E25"/>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A01"/>
    <w:rsid w:val="00AB2CCC"/>
    <w:rsid w:val="00AB4F2C"/>
    <w:rsid w:val="00AB64F8"/>
    <w:rsid w:val="00AC6ECF"/>
    <w:rsid w:val="00AC7B6B"/>
    <w:rsid w:val="00AD1216"/>
    <w:rsid w:val="00AD1BC7"/>
    <w:rsid w:val="00AD4477"/>
    <w:rsid w:val="00AD4F51"/>
    <w:rsid w:val="00AD5285"/>
    <w:rsid w:val="00AD54D3"/>
    <w:rsid w:val="00AD5C82"/>
    <w:rsid w:val="00AD70E0"/>
    <w:rsid w:val="00AE0028"/>
    <w:rsid w:val="00AE00FE"/>
    <w:rsid w:val="00AE0451"/>
    <w:rsid w:val="00AE0803"/>
    <w:rsid w:val="00AE0ADB"/>
    <w:rsid w:val="00AE2662"/>
    <w:rsid w:val="00AE3CBD"/>
    <w:rsid w:val="00AE5D21"/>
    <w:rsid w:val="00AE7C5F"/>
    <w:rsid w:val="00AF08A8"/>
    <w:rsid w:val="00AF2019"/>
    <w:rsid w:val="00AF26B7"/>
    <w:rsid w:val="00AF2889"/>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AB1"/>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71B"/>
    <w:rsid w:val="00B44FFE"/>
    <w:rsid w:val="00B45AE1"/>
    <w:rsid w:val="00B460A9"/>
    <w:rsid w:val="00B4642E"/>
    <w:rsid w:val="00B4729B"/>
    <w:rsid w:val="00B47460"/>
    <w:rsid w:val="00B50D6B"/>
    <w:rsid w:val="00B5110E"/>
    <w:rsid w:val="00B534D5"/>
    <w:rsid w:val="00B536E6"/>
    <w:rsid w:val="00B54876"/>
    <w:rsid w:val="00B5592D"/>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13B"/>
    <w:rsid w:val="00B81D1E"/>
    <w:rsid w:val="00B82E77"/>
    <w:rsid w:val="00B82EBB"/>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47B"/>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F26"/>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02F"/>
    <w:rsid w:val="00BE627E"/>
    <w:rsid w:val="00BE71DD"/>
    <w:rsid w:val="00BF20B8"/>
    <w:rsid w:val="00BF2BCA"/>
    <w:rsid w:val="00BF4357"/>
    <w:rsid w:val="00BF47F9"/>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CE8"/>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4543"/>
    <w:rsid w:val="00D7554F"/>
    <w:rsid w:val="00D765DD"/>
    <w:rsid w:val="00D76854"/>
    <w:rsid w:val="00D80C46"/>
    <w:rsid w:val="00D818DF"/>
    <w:rsid w:val="00D825A8"/>
    <w:rsid w:val="00D83201"/>
    <w:rsid w:val="00D8337E"/>
    <w:rsid w:val="00D8345D"/>
    <w:rsid w:val="00D87651"/>
    <w:rsid w:val="00D9109A"/>
    <w:rsid w:val="00D919A5"/>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1AB"/>
    <w:rsid w:val="00DD694D"/>
    <w:rsid w:val="00DD72BD"/>
    <w:rsid w:val="00DD761B"/>
    <w:rsid w:val="00DE0079"/>
    <w:rsid w:val="00DE0517"/>
    <w:rsid w:val="00DE11DA"/>
    <w:rsid w:val="00DE2D28"/>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349"/>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1AC"/>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6D9"/>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1B01"/>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555"/>
    <w:rsid w:val="00FE2B95"/>
    <w:rsid w:val="00FE2D66"/>
    <w:rsid w:val="00FE2E16"/>
    <w:rsid w:val="00FE3C92"/>
    <w:rsid w:val="00FE3DE2"/>
    <w:rsid w:val="00FE3E94"/>
    <w:rsid w:val="00FE3F37"/>
    <w:rsid w:val="00FE40D1"/>
    <w:rsid w:val="00FE41F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3DBA7F"/>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5DF540"/>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0110802/https://eur-lex.europa.eu/eli/reg_impl/2020/1294/oj/eng"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9184822/https://eur-lex.europa.eu/legal-content/EN/TXT/?uri=CELEX%3A02018L2001-20240716"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0143120/https://climatecasechart.com/non-us-case/eu-biomass-plaintiffs-v-european-union/?u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10132754/https://energy.ec.europa.eu/news/february-infringement-package-key-decisions-energy-2025-02-12_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f3ae4679-24f8-43cb-880e-0de6e561589c"/>
    <ds:schemaRef ds:uri="http://purl.org/dc/elements/1.1/"/>
    <ds:schemaRef ds:uri="http://schemas.openxmlformats.org/package/2006/metadata/core-properties"/>
    <ds:schemaRef ds:uri="a84edb6d-cf86-4b2b-8a62-38e962ed6fbe"/>
    <ds:schemaRef ds:uri="http://purl.org/dc/terms/"/>
    <ds:schemaRef ds:uri="http://schemas.microsoft.com/office/2006/documentManagement/types"/>
    <ds:schemaRef ds:uri="http://schemas.microsoft.com/office/infopath/2007/PartnerControls"/>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22911</Words>
  <Characters>130598</Characters>
  <Application>Microsoft Office Word</Application>
  <DocSecurity>0</DocSecurity>
  <Lines>1088</Lines>
  <Paragraphs>306</Paragraphs>
  <ScaleCrop>false</ScaleCrop>
  <Company/>
  <LinksUpToDate>false</LinksUpToDate>
  <CharactersWithSpaces>153203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87</cp:revision>
  <cp:lastPrinted>2025-03-21T00:14:00Z</cp:lastPrinted>
  <dcterms:created xsi:type="dcterms:W3CDTF">2025-06-19T12:17:00Z</dcterms:created>
  <dcterms:modified xsi:type="dcterms:W3CDTF">2025-07-10T15:28:00Z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